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4F2AE" w14:textId="4F18B55C" w:rsidR="00E203C2" w:rsidRDefault="00E203C2" w:rsidP="00E203C2">
      <w:r>
        <w:rPr>
          <w:noProof/>
          <w:lang w:eastAsia="en-GB" w:bidi="ar-SA"/>
        </w:rPr>
        <w:drawing>
          <wp:inline distT="0" distB="0" distL="0" distR="0" wp14:anchorId="1DDB44B1" wp14:editId="01F2614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18EE1B0" w14:textId="77777777" w:rsidR="00E203C2" w:rsidRDefault="00E203C2" w:rsidP="00E203C2"/>
    <w:p w14:paraId="71750D1A" w14:textId="7A21196A" w:rsidR="00BA24E2" w:rsidRPr="00970A09" w:rsidRDefault="0061545F" w:rsidP="00BA24E2">
      <w:pPr>
        <w:rPr>
          <w:b/>
          <w:color w:val="000000" w:themeColor="text1"/>
          <w:sz w:val="28"/>
          <w:szCs w:val="28"/>
        </w:rPr>
      </w:pPr>
      <w:r w:rsidRPr="00970A09">
        <w:rPr>
          <w:b/>
          <w:color w:val="000000" w:themeColor="text1"/>
          <w:sz w:val="28"/>
          <w:szCs w:val="28"/>
        </w:rPr>
        <w:t>14</w:t>
      </w:r>
      <w:r w:rsidR="00BA24E2" w:rsidRPr="00970A09">
        <w:rPr>
          <w:b/>
          <w:color w:val="000000" w:themeColor="text1"/>
          <w:sz w:val="28"/>
          <w:szCs w:val="28"/>
        </w:rPr>
        <w:t xml:space="preserve"> </w:t>
      </w:r>
      <w:r w:rsidRPr="00970A09">
        <w:rPr>
          <w:b/>
          <w:color w:val="000000" w:themeColor="text1"/>
          <w:sz w:val="28"/>
          <w:szCs w:val="28"/>
        </w:rPr>
        <w:t>September 2017</w:t>
      </w:r>
    </w:p>
    <w:p w14:paraId="32849B6D" w14:textId="7302878D" w:rsidR="00BA24E2" w:rsidRPr="00970A09" w:rsidRDefault="00B270B3" w:rsidP="00BA24E2">
      <w:pPr>
        <w:rPr>
          <w:b/>
          <w:color w:val="000000" w:themeColor="text1"/>
          <w:sz w:val="28"/>
          <w:szCs w:val="28"/>
        </w:rPr>
      </w:pPr>
      <w:r>
        <w:rPr>
          <w:b/>
          <w:color w:val="000000" w:themeColor="text1"/>
          <w:sz w:val="28"/>
          <w:szCs w:val="28"/>
        </w:rPr>
        <w:t>[24</w:t>
      </w:r>
      <w:r w:rsidR="00CA7F35" w:rsidRPr="00970A09">
        <w:rPr>
          <w:b/>
          <w:color w:val="000000" w:themeColor="text1"/>
          <w:sz w:val="28"/>
          <w:szCs w:val="28"/>
        </w:rPr>
        <w:t>–</w:t>
      </w:r>
      <w:r w:rsidR="00BA24E2" w:rsidRPr="00970A09">
        <w:rPr>
          <w:b/>
          <w:color w:val="000000" w:themeColor="text1"/>
          <w:sz w:val="28"/>
          <w:szCs w:val="28"/>
        </w:rPr>
        <w:t>1</w:t>
      </w:r>
      <w:r w:rsidR="00970A09" w:rsidRPr="00970A09">
        <w:rPr>
          <w:b/>
          <w:color w:val="000000" w:themeColor="text1"/>
          <w:sz w:val="28"/>
          <w:szCs w:val="28"/>
        </w:rPr>
        <w:t>7</w:t>
      </w:r>
      <w:r w:rsidR="00BA24E2" w:rsidRPr="00970A09">
        <w:rPr>
          <w:b/>
          <w:color w:val="000000" w:themeColor="text1"/>
          <w:sz w:val="28"/>
          <w:szCs w:val="28"/>
        </w:rPr>
        <w:t>]</w:t>
      </w:r>
    </w:p>
    <w:p w14:paraId="244B7D8A" w14:textId="77777777" w:rsidR="00BA24E2" w:rsidRDefault="00BA24E2" w:rsidP="00E203C2"/>
    <w:p w14:paraId="7F1BE1E8" w14:textId="77777777" w:rsidR="00D056F1" w:rsidRPr="00A83B1D" w:rsidRDefault="000427B2" w:rsidP="002432EE">
      <w:pPr>
        <w:pStyle w:val="FSTitle"/>
        <w:rPr>
          <w:b/>
          <w:color w:val="000000" w:themeColor="text1"/>
        </w:rPr>
      </w:pPr>
      <w:r w:rsidRPr="00A83B1D">
        <w:rPr>
          <w:b/>
          <w:color w:val="000000" w:themeColor="text1"/>
        </w:rPr>
        <w:t>C</w:t>
      </w:r>
      <w:r w:rsidR="00D8470F" w:rsidRPr="00A83B1D">
        <w:rPr>
          <w:b/>
          <w:color w:val="000000" w:themeColor="text1"/>
        </w:rPr>
        <w:t>all</w:t>
      </w:r>
      <w:r w:rsidRPr="00A83B1D">
        <w:rPr>
          <w:b/>
          <w:color w:val="000000" w:themeColor="text1"/>
        </w:rPr>
        <w:t xml:space="preserve"> </w:t>
      </w:r>
      <w:r w:rsidR="00D8470F" w:rsidRPr="00A83B1D">
        <w:rPr>
          <w:b/>
          <w:color w:val="000000" w:themeColor="text1"/>
        </w:rPr>
        <w:t>for</w:t>
      </w:r>
      <w:r w:rsidRPr="00A83B1D">
        <w:rPr>
          <w:b/>
          <w:color w:val="000000" w:themeColor="text1"/>
        </w:rPr>
        <w:t xml:space="preserve"> </w:t>
      </w:r>
      <w:r w:rsidR="00D8470F" w:rsidRPr="00A83B1D">
        <w:rPr>
          <w:b/>
          <w:color w:val="000000" w:themeColor="text1"/>
        </w:rPr>
        <w:t>submissions</w:t>
      </w:r>
      <w:r w:rsidRPr="00A83B1D">
        <w:rPr>
          <w:b/>
          <w:color w:val="000000" w:themeColor="text1"/>
        </w:rPr>
        <w:t xml:space="preserve"> – </w:t>
      </w:r>
      <w:r w:rsidR="00D056F1" w:rsidRPr="00A83B1D">
        <w:rPr>
          <w:b/>
          <w:color w:val="000000" w:themeColor="text1"/>
        </w:rPr>
        <w:t>A</w:t>
      </w:r>
      <w:r w:rsidR="00A91DF1" w:rsidRPr="00A83B1D">
        <w:rPr>
          <w:b/>
          <w:color w:val="000000" w:themeColor="text1"/>
        </w:rPr>
        <w:t>pplication</w:t>
      </w:r>
      <w:r w:rsidR="00A83B1D" w:rsidRPr="00A83B1D">
        <w:rPr>
          <w:b/>
          <w:color w:val="000000" w:themeColor="text1"/>
        </w:rPr>
        <w:t xml:space="preserve"> A1143</w:t>
      </w:r>
    </w:p>
    <w:p w14:paraId="6BB68C1F" w14:textId="77777777" w:rsidR="00E203C2" w:rsidRPr="00A83B1D" w:rsidRDefault="00E203C2" w:rsidP="00E203C2">
      <w:pPr>
        <w:rPr>
          <w:color w:val="000000" w:themeColor="text1"/>
        </w:rPr>
      </w:pPr>
    </w:p>
    <w:p w14:paraId="552A716E" w14:textId="77777777" w:rsidR="00D056F1" w:rsidRPr="00A83B1D" w:rsidRDefault="00A83B1D" w:rsidP="002432EE">
      <w:pPr>
        <w:pStyle w:val="FSTitle"/>
        <w:rPr>
          <w:color w:val="000000" w:themeColor="text1"/>
        </w:rPr>
      </w:pPr>
      <w:r w:rsidRPr="00A83B1D">
        <w:rPr>
          <w:color w:val="000000" w:themeColor="text1"/>
        </w:rPr>
        <w:t>Food derived from DHA Canola Line NS-B50027-4</w:t>
      </w:r>
    </w:p>
    <w:p w14:paraId="584E5FA7" w14:textId="77777777" w:rsidR="00E203C2" w:rsidRPr="00A83B1D" w:rsidRDefault="00E203C2" w:rsidP="00E203C2">
      <w:pPr>
        <w:pBdr>
          <w:bottom w:val="single" w:sz="12" w:space="1" w:color="auto"/>
        </w:pBdr>
        <w:spacing w:line="280" w:lineRule="exact"/>
        <w:rPr>
          <w:rFonts w:cs="Arial"/>
          <w:bCs/>
          <w:color w:val="000000" w:themeColor="text1"/>
        </w:rPr>
      </w:pPr>
    </w:p>
    <w:p w14:paraId="51B86993" w14:textId="77777777" w:rsidR="00E203C2" w:rsidRPr="00A83B1D" w:rsidRDefault="00E203C2" w:rsidP="00E203C2">
      <w:pPr>
        <w:rPr>
          <w:color w:val="000000" w:themeColor="text1"/>
        </w:rPr>
      </w:pPr>
    </w:p>
    <w:p w14:paraId="2AB7196D" w14:textId="50171313" w:rsidR="00E063C6" w:rsidRPr="00A83B1D" w:rsidRDefault="00E063C6" w:rsidP="00E203C2">
      <w:pPr>
        <w:rPr>
          <w:color w:val="000000" w:themeColor="text1"/>
          <w:sz w:val="20"/>
          <w:szCs w:val="20"/>
        </w:rPr>
      </w:pPr>
      <w:r w:rsidRPr="00A83B1D">
        <w:rPr>
          <w:color w:val="000000" w:themeColor="text1"/>
          <w:sz w:val="20"/>
          <w:szCs w:val="20"/>
        </w:rPr>
        <w:t xml:space="preserve">FSANZ </w:t>
      </w:r>
      <w:r w:rsidR="00D81D38" w:rsidRPr="00A83B1D">
        <w:rPr>
          <w:color w:val="000000" w:themeColor="text1"/>
          <w:sz w:val="20"/>
          <w:szCs w:val="20"/>
        </w:rPr>
        <w:t>has assessed an A</w:t>
      </w:r>
      <w:r w:rsidR="00351B07" w:rsidRPr="00A83B1D">
        <w:rPr>
          <w:color w:val="000000" w:themeColor="text1"/>
          <w:sz w:val="20"/>
          <w:szCs w:val="20"/>
        </w:rPr>
        <w:t>pplica</w:t>
      </w:r>
      <w:r w:rsidR="00A83B1D" w:rsidRPr="00A83B1D">
        <w:rPr>
          <w:color w:val="000000" w:themeColor="text1"/>
          <w:sz w:val="20"/>
          <w:szCs w:val="20"/>
        </w:rPr>
        <w:t xml:space="preserve">tion made by </w:t>
      </w:r>
      <w:proofErr w:type="spellStart"/>
      <w:r w:rsidR="00A83B1D" w:rsidRPr="00A83B1D">
        <w:rPr>
          <w:color w:val="000000" w:themeColor="text1"/>
          <w:sz w:val="20"/>
          <w:szCs w:val="20"/>
        </w:rPr>
        <w:t>Nuseed</w:t>
      </w:r>
      <w:proofErr w:type="spellEnd"/>
      <w:r w:rsidR="00A83B1D" w:rsidRPr="00A83B1D">
        <w:rPr>
          <w:color w:val="000000" w:themeColor="text1"/>
          <w:sz w:val="20"/>
          <w:szCs w:val="20"/>
        </w:rPr>
        <w:t xml:space="preserve"> Pty Ltd</w:t>
      </w:r>
      <w:r w:rsidR="00351B07" w:rsidRPr="00A83B1D">
        <w:rPr>
          <w:color w:val="000000" w:themeColor="text1"/>
          <w:sz w:val="20"/>
          <w:szCs w:val="20"/>
        </w:rPr>
        <w:t xml:space="preserve"> </w:t>
      </w:r>
      <w:r w:rsidR="007C174F" w:rsidRPr="00A83B1D">
        <w:rPr>
          <w:color w:val="000000" w:themeColor="text1"/>
          <w:sz w:val="20"/>
          <w:szCs w:val="20"/>
        </w:rPr>
        <w:t>to</w:t>
      </w:r>
      <w:r w:rsidR="00A83B1D" w:rsidRPr="00A83B1D">
        <w:rPr>
          <w:color w:val="000000" w:themeColor="text1"/>
          <w:sz w:val="20"/>
          <w:szCs w:val="20"/>
        </w:rPr>
        <w:t xml:space="preserve"> seek approval for food derived from canola </w:t>
      </w:r>
      <w:r w:rsidR="00A83B1D">
        <w:rPr>
          <w:color w:val="000000" w:themeColor="text1"/>
          <w:sz w:val="20"/>
          <w:szCs w:val="20"/>
        </w:rPr>
        <w:t xml:space="preserve">line NS-B50027-4 </w:t>
      </w:r>
      <w:r w:rsidR="00A83B1D" w:rsidRPr="00A83B1D">
        <w:rPr>
          <w:color w:val="000000" w:themeColor="text1"/>
          <w:sz w:val="20"/>
          <w:szCs w:val="20"/>
        </w:rPr>
        <w:t xml:space="preserve">genetically modified to introduce, into the seed, the pathway for </w:t>
      </w:r>
      <w:r w:rsidR="001D128A">
        <w:rPr>
          <w:color w:val="000000" w:themeColor="text1"/>
          <w:sz w:val="20"/>
          <w:szCs w:val="20"/>
        </w:rPr>
        <w:t>producing</w:t>
      </w:r>
      <w:r w:rsidR="00A83B1D" w:rsidRPr="00A83B1D">
        <w:rPr>
          <w:color w:val="000000" w:themeColor="text1"/>
          <w:sz w:val="20"/>
          <w:szCs w:val="20"/>
        </w:rPr>
        <w:t xml:space="preserve"> the long-chain omega-3 fatty acid docosahexaenoic acid from oleic acid. A</w:t>
      </w:r>
      <w:r w:rsidR="00413CA8" w:rsidRPr="00A83B1D">
        <w:rPr>
          <w:color w:val="000000" w:themeColor="text1"/>
          <w:sz w:val="20"/>
          <w:szCs w:val="20"/>
        </w:rPr>
        <w:t xml:space="preserve"> draft </w:t>
      </w:r>
      <w:r w:rsidR="00D8470F" w:rsidRPr="00A83B1D">
        <w:rPr>
          <w:color w:val="000000" w:themeColor="text1"/>
          <w:sz w:val="20"/>
          <w:szCs w:val="20"/>
        </w:rPr>
        <w:t>food regulatory measure</w:t>
      </w:r>
      <w:r w:rsidR="00A83B1D" w:rsidRPr="00A83B1D">
        <w:rPr>
          <w:color w:val="000000" w:themeColor="text1"/>
          <w:sz w:val="20"/>
          <w:szCs w:val="20"/>
        </w:rPr>
        <w:t xml:space="preserve"> has been prepared and, p</w:t>
      </w:r>
      <w:r w:rsidR="00D22F3C" w:rsidRPr="00A83B1D">
        <w:rPr>
          <w:color w:val="000000" w:themeColor="text1"/>
          <w:sz w:val="20"/>
          <w:szCs w:val="20"/>
        </w:rPr>
        <w:t xml:space="preserve">ursuant to section 31 of the </w:t>
      </w:r>
      <w:r w:rsidR="00D22F3C" w:rsidRPr="00A83B1D">
        <w:rPr>
          <w:i/>
          <w:color w:val="000000" w:themeColor="text1"/>
          <w:sz w:val="20"/>
          <w:szCs w:val="20"/>
        </w:rPr>
        <w:t>Food Standard</w:t>
      </w:r>
      <w:r w:rsidR="00E203C2" w:rsidRPr="00A83B1D">
        <w:rPr>
          <w:i/>
          <w:color w:val="000000" w:themeColor="text1"/>
          <w:sz w:val="20"/>
          <w:szCs w:val="20"/>
        </w:rPr>
        <w:t>s Australia New Zealand Act 1991</w:t>
      </w:r>
      <w:r w:rsidR="00D22F3C" w:rsidRPr="00A83B1D">
        <w:rPr>
          <w:i/>
          <w:color w:val="000000" w:themeColor="text1"/>
          <w:sz w:val="20"/>
          <w:szCs w:val="20"/>
        </w:rPr>
        <w:t xml:space="preserve"> </w:t>
      </w:r>
      <w:r w:rsidR="00E203C2" w:rsidRPr="00A83B1D">
        <w:rPr>
          <w:color w:val="000000" w:themeColor="text1"/>
          <w:sz w:val="20"/>
          <w:szCs w:val="20"/>
        </w:rPr>
        <w:t>(</w:t>
      </w:r>
      <w:r w:rsidR="00D22F3C" w:rsidRPr="00A83B1D">
        <w:rPr>
          <w:color w:val="000000" w:themeColor="text1"/>
          <w:sz w:val="20"/>
          <w:szCs w:val="20"/>
        </w:rPr>
        <w:t>FSANZ Act), FSANZ now c</w:t>
      </w:r>
      <w:r w:rsidR="00E203C2" w:rsidRPr="00A83B1D">
        <w:rPr>
          <w:color w:val="000000" w:themeColor="text1"/>
          <w:sz w:val="20"/>
          <w:szCs w:val="20"/>
        </w:rPr>
        <w:t xml:space="preserve">alls for submissions to assist consideration of the </w:t>
      </w:r>
      <w:r w:rsidR="00413CA8" w:rsidRPr="00A83B1D">
        <w:rPr>
          <w:color w:val="000000" w:themeColor="text1"/>
          <w:sz w:val="20"/>
          <w:szCs w:val="20"/>
        </w:rPr>
        <w:t xml:space="preserve">draft </w:t>
      </w:r>
      <w:r w:rsidR="00D8470F" w:rsidRPr="00A83B1D">
        <w:rPr>
          <w:color w:val="000000" w:themeColor="text1"/>
          <w:sz w:val="20"/>
          <w:szCs w:val="20"/>
        </w:rPr>
        <w:t>food regulatory measure</w:t>
      </w:r>
      <w:r w:rsidR="00D22F3C" w:rsidRPr="00A83B1D">
        <w:rPr>
          <w:color w:val="000000" w:themeColor="text1"/>
          <w:sz w:val="20"/>
          <w:szCs w:val="20"/>
        </w:rPr>
        <w:t>.</w:t>
      </w:r>
    </w:p>
    <w:p w14:paraId="4D572916" w14:textId="77777777" w:rsidR="00413CA8" w:rsidRPr="00A83B1D" w:rsidRDefault="00413CA8" w:rsidP="00E203C2">
      <w:pPr>
        <w:rPr>
          <w:color w:val="000000" w:themeColor="text1"/>
          <w:sz w:val="20"/>
          <w:szCs w:val="20"/>
        </w:rPr>
      </w:pPr>
    </w:p>
    <w:p w14:paraId="23D01D91" w14:textId="77777777" w:rsidR="00351B07" w:rsidRDefault="00A91DF1" w:rsidP="00E203C2">
      <w:pPr>
        <w:rPr>
          <w:sz w:val="20"/>
          <w:szCs w:val="20"/>
        </w:rPr>
      </w:pPr>
      <w:r w:rsidRPr="00A83B1D">
        <w:rPr>
          <w:color w:val="000000" w:themeColor="text1"/>
          <w:sz w:val="20"/>
          <w:szCs w:val="20"/>
        </w:rPr>
        <w:t>Fo</w:t>
      </w:r>
      <w:r w:rsidR="00AD22F9" w:rsidRPr="00A83B1D">
        <w:rPr>
          <w:color w:val="000000" w:themeColor="text1"/>
          <w:sz w:val="20"/>
          <w:szCs w:val="20"/>
        </w:rPr>
        <w:t>r</w:t>
      </w:r>
      <w:r w:rsidRPr="00A83B1D">
        <w:rPr>
          <w:color w:val="000000" w:themeColor="text1"/>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020AFEB9" w14:textId="77777777" w:rsidR="00D81D38" w:rsidRPr="00276026" w:rsidRDefault="00D81D38" w:rsidP="00276026">
      <w:pPr>
        <w:rPr>
          <w:sz w:val="20"/>
          <w:szCs w:val="20"/>
        </w:rPr>
      </w:pPr>
    </w:p>
    <w:p w14:paraId="7ADAB7C6" w14:textId="77777777" w:rsidR="00276026" w:rsidRPr="00276026" w:rsidRDefault="00276026" w:rsidP="00DA3FF7">
      <w:pPr>
        <w:ind w:right="-2"/>
        <w:rPr>
          <w:sz w:val="20"/>
          <w:szCs w:val="20"/>
        </w:rPr>
      </w:pPr>
      <w:r w:rsidRPr="00276026">
        <w:rPr>
          <w:sz w:val="20"/>
          <w:szCs w:val="20"/>
        </w:rPr>
        <w:t>All submissions on applications and proposals will be published on our website. We</w:t>
      </w:r>
      <w:r w:rsidR="00A83B1D">
        <w:rPr>
          <w:sz w:val="20"/>
          <w:szCs w:val="20"/>
        </w:rPr>
        <w:t xml:space="preserve"> will not publish material that</w:t>
      </w:r>
      <w:r w:rsidR="00901EF6">
        <w:rPr>
          <w:sz w:val="20"/>
          <w:szCs w:val="20"/>
        </w:rPr>
        <w:t xml:space="preserve">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33C92C75" w14:textId="77777777" w:rsidR="00876515" w:rsidRPr="00276026" w:rsidRDefault="00876515" w:rsidP="00276026">
      <w:pPr>
        <w:rPr>
          <w:color w:val="000000"/>
          <w:sz w:val="20"/>
          <w:szCs w:val="20"/>
          <w:lang w:val="en-AU"/>
        </w:rPr>
      </w:pPr>
    </w:p>
    <w:p w14:paraId="47BB42C5"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75FD573B" w14:textId="77777777" w:rsidR="00E203C2" w:rsidRPr="007C174F" w:rsidRDefault="00E203C2" w:rsidP="00E203C2">
      <w:pPr>
        <w:rPr>
          <w:color w:val="000000"/>
          <w:sz w:val="20"/>
          <w:szCs w:val="20"/>
          <w:lang w:val="en-AU"/>
        </w:rPr>
      </w:pPr>
    </w:p>
    <w:p w14:paraId="13086035"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435F88C7" w14:textId="77777777" w:rsidR="00E203C2" w:rsidRPr="007C174F" w:rsidRDefault="00E203C2" w:rsidP="00E203C2">
      <w:pPr>
        <w:rPr>
          <w:color w:val="000000"/>
          <w:sz w:val="20"/>
          <w:szCs w:val="20"/>
          <w:lang w:val="en-AU"/>
        </w:rPr>
      </w:pPr>
    </w:p>
    <w:p w14:paraId="430F049F"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323128CC" w14:textId="77777777" w:rsidR="00E203C2" w:rsidRPr="00D676CF" w:rsidRDefault="00E203C2" w:rsidP="00E203C2">
      <w:pPr>
        <w:rPr>
          <w:color w:val="000000"/>
          <w:sz w:val="20"/>
          <w:lang w:val="en-AU"/>
        </w:rPr>
      </w:pPr>
    </w:p>
    <w:p w14:paraId="22F6D634" w14:textId="666B9172" w:rsidR="00E063C6" w:rsidRPr="003376D9"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634F2E">
        <w:rPr>
          <w:rFonts w:cs="Arial"/>
          <w:b/>
          <w:bCs/>
          <w:sz w:val="24"/>
        </w:rPr>
        <w:t>26</w:t>
      </w:r>
      <w:r w:rsidR="003376D9" w:rsidRPr="003376D9">
        <w:rPr>
          <w:rFonts w:cs="Arial"/>
          <w:b/>
          <w:bCs/>
          <w:sz w:val="24"/>
        </w:rPr>
        <w:t xml:space="preserve"> October 2017</w:t>
      </w:r>
    </w:p>
    <w:p w14:paraId="7284564A" w14:textId="77777777" w:rsidR="00E203C2" w:rsidRPr="007C174F" w:rsidRDefault="00E203C2" w:rsidP="00E203C2">
      <w:pPr>
        <w:rPr>
          <w:sz w:val="20"/>
          <w:szCs w:val="20"/>
          <w:lang w:val="en-AU"/>
        </w:rPr>
      </w:pPr>
    </w:p>
    <w:p w14:paraId="59EF4713" w14:textId="77777777" w:rsidR="00E063C6" w:rsidRPr="00A83B1D"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r w:rsidR="00A83B1D">
        <w:rPr>
          <w:sz w:val="20"/>
          <w:szCs w:val="20"/>
          <w:lang w:val="en-AU"/>
        </w:rPr>
        <w:t xml:space="preserve"> </w:t>
      </w:r>
      <w:r w:rsidR="0037520F">
        <w:rPr>
          <w:sz w:val="20"/>
          <w:szCs w:val="20"/>
          <w:lang w:val="en-AU"/>
        </w:rPr>
        <w:t>Questions about</w:t>
      </w:r>
      <w:r w:rsidRPr="007C174F">
        <w:rPr>
          <w:sz w:val="20"/>
          <w:szCs w:val="20"/>
          <w:lang w:val="en-AU"/>
        </w:rPr>
        <w:t xml:space="preserve"> making submissions or the application process can be </w:t>
      </w:r>
      <w:r w:rsidR="0037520F">
        <w:rPr>
          <w:sz w:val="20"/>
          <w:szCs w:val="20"/>
          <w:lang w:val="en-AU"/>
        </w:rPr>
        <w:t>sent to</w:t>
      </w:r>
      <w:r w:rsidRPr="007C174F">
        <w:rPr>
          <w:sz w:val="20"/>
          <w:szCs w:val="20"/>
          <w:lang w:val="en-AU"/>
        </w:rPr>
        <w:t xml:space="preserve"> </w:t>
      </w:r>
      <w:hyperlink r:id="rId19" w:history="1">
        <w:r w:rsidRPr="007C174F">
          <w:rPr>
            <w:rStyle w:val="Hyperlink"/>
            <w:rFonts w:cs="Arial"/>
            <w:sz w:val="20"/>
            <w:szCs w:val="20"/>
            <w:lang w:val="en-AU"/>
          </w:rPr>
          <w:t>standards.management@foodstandards.gov.au</w:t>
        </w:r>
      </w:hyperlink>
      <w:r w:rsidRPr="007C174F">
        <w:rPr>
          <w:sz w:val="20"/>
          <w:szCs w:val="20"/>
          <w:lang w:val="en-AU"/>
        </w:rPr>
        <w:t xml:space="preserve">. </w:t>
      </w:r>
    </w:p>
    <w:p w14:paraId="4B8676D9" w14:textId="77777777" w:rsidR="00E203C2" w:rsidRPr="003A7725" w:rsidRDefault="00E203C2" w:rsidP="003A7725">
      <w:pPr>
        <w:rPr>
          <w:sz w:val="20"/>
          <w:lang w:val="en-AU"/>
        </w:rPr>
      </w:pPr>
    </w:p>
    <w:p w14:paraId="008A3F99"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52B67F1D" w14:textId="77777777" w:rsidR="00E203C2" w:rsidRPr="007C174F" w:rsidRDefault="00E203C2" w:rsidP="00E203C2">
      <w:pPr>
        <w:rPr>
          <w:sz w:val="20"/>
          <w:szCs w:val="20"/>
          <w:lang w:val="en-AU"/>
        </w:rPr>
      </w:pPr>
    </w:p>
    <w:p w14:paraId="3E374DA8" w14:textId="77777777" w:rsidR="00E203C2" w:rsidRPr="00A83B1D" w:rsidRDefault="00E063C6" w:rsidP="00E203C2">
      <w:pPr>
        <w:tabs>
          <w:tab w:val="left" w:pos="4536"/>
        </w:tabs>
        <w:rPr>
          <w:color w:val="000000" w:themeColor="text1"/>
          <w:sz w:val="20"/>
          <w:szCs w:val="20"/>
        </w:rPr>
      </w:pPr>
      <w:r w:rsidRPr="00A83B1D">
        <w:rPr>
          <w:color w:val="000000" w:themeColor="text1"/>
          <w:sz w:val="20"/>
          <w:szCs w:val="20"/>
        </w:rPr>
        <w:t>Food Standards Australia New Zealand</w:t>
      </w:r>
      <w:r w:rsidRPr="00A83B1D">
        <w:rPr>
          <w:color w:val="000000" w:themeColor="text1"/>
          <w:sz w:val="20"/>
          <w:szCs w:val="20"/>
        </w:rPr>
        <w:tab/>
      </w:r>
      <w:r w:rsidRPr="00A83B1D">
        <w:rPr>
          <w:color w:val="000000" w:themeColor="text1"/>
          <w:sz w:val="20"/>
          <w:szCs w:val="20"/>
        </w:rPr>
        <w:tab/>
        <w:t>Food Standards Australia New Zealand</w:t>
      </w:r>
    </w:p>
    <w:p w14:paraId="6AAB0E54" w14:textId="77777777" w:rsidR="00E203C2" w:rsidRPr="00A83B1D" w:rsidRDefault="00E063C6" w:rsidP="00E203C2">
      <w:pPr>
        <w:tabs>
          <w:tab w:val="left" w:pos="4536"/>
        </w:tabs>
        <w:rPr>
          <w:color w:val="000000" w:themeColor="text1"/>
          <w:sz w:val="20"/>
          <w:szCs w:val="20"/>
        </w:rPr>
      </w:pPr>
      <w:r w:rsidRPr="00A83B1D">
        <w:rPr>
          <w:color w:val="000000" w:themeColor="text1"/>
          <w:sz w:val="20"/>
          <w:szCs w:val="20"/>
        </w:rPr>
        <w:t xml:space="preserve">PO Box </w:t>
      </w:r>
      <w:r w:rsidR="00685269" w:rsidRPr="00A83B1D">
        <w:rPr>
          <w:color w:val="000000" w:themeColor="text1"/>
          <w:sz w:val="20"/>
          <w:szCs w:val="20"/>
        </w:rPr>
        <w:t>5423</w:t>
      </w:r>
      <w:r w:rsidRPr="00A83B1D">
        <w:rPr>
          <w:color w:val="000000" w:themeColor="text1"/>
          <w:sz w:val="20"/>
          <w:szCs w:val="20"/>
        </w:rPr>
        <w:tab/>
      </w:r>
      <w:r w:rsidRPr="00A83B1D">
        <w:rPr>
          <w:color w:val="000000" w:themeColor="text1"/>
          <w:sz w:val="20"/>
          <w:szCs w:val="20"/>
        </w:rPr>
        <w:tab/>
        <w:t>PO Box 10559</w:t>
      </w:r>
    </w:p>
    <w:p w14:paraId="3F51A6B9" w14:textId="77777777" w:rsidR="00E203C2" w:rsidRPr="00A83B1D" w:rsidRDefault="00685269" w:rsidP="00E203C2">
      <w:pPr>
        <w:tabs>
          <w:tab w:val="left" w:pos="4536"/>
        </w:tabs>
        <w:rPr>
          <w:color w:val="000000" w:themeColor="text1"/>
          <w:sz w:val="20"/>
          <w:szCs w:val="20"/>
        </w:rPr>
      </w:pPr>
      <w:proofErr w:type="gramStart"/>
      <w:r w:rsidRPr="00A83B1D">
        <w:rPr>
          <w:color w:val="000000" w:themeColor="text1"/>
          <w:sz w:val="20"/>
          <w:szCs w:val="20"/>
        </w:rPr>
        <w:t>KINGSTON</w:t>
      </w:r>
      <w:r w:rsidR="00E063C6" w:rsidRPr="00A83B1D">
        <w:rPr>
          <w:color w:val="000000" w:themeColor="text1"/>
          <w:sz w:val="20"/>
          <w:szCs w:val="20"/>
        </w:rPr>
        <w:t xml:space="preserve"> </w:t>
      </w:r>
      <w:r w:rsidR="0037520F" w:rsidRPr="00A83B1D">
        <w:rPr>
          <w:color w:val="000000" w:themeColor="text1"/>
          <w:sz w:val="20"/>
          <w:szCs w:val="20"/>
        </w:rPr>
        <w:t xml:space="preserve"> </w:t>
      </w:r>
      <w:r w:rsidR="00E063C6" w:rsidRPr="00A83B1D">
        <w:rPr>
          <w:color w:val="000000" w:themeColor="text1"/>
          <w:sz w:val="20"/>
          <w:szCs w:val="20"/>
        </w:rPr>
        <w:t>ACT</w:t>
      </w:r>
      <w:proofErr w:type="gramEnd"/>
      <w:r w:rsidR="0037520F" w:rsidRPr="00A83B1D">
        <w:rPr>
          <w:color w:val="000000" w:themeColor="text1"/>
          <w:sz w:val="20"/>
          <w:szCs w:val="20"/>
        </w:rPr>
        <w:t xml:space="preserve"> </w:t>
      </w:r>
      <w:r w:rsidR="00E063C6" w:rsidRPr="00A83B1D">
        <w:rPr>
          <w:color w:val="000000" w:themeColor="text1"/>
          <w:sz w:val="20"/>
          <w:szCs w:val="20"/>
        </w:rPr>
        <w:t xml:space="preserve"> 2</w:t>
      </w:r>
      <w:r w:rsidRPr="00A83B1D">
        <w:rPr>
          <w:color w:val="000000" w:themeColor="text1"/>
          <w:sz w:val="20"/>
          <w:szCs w:val="20"/>
        </w:rPr>
        <w:t>604</w:t>
      </w:r>
      <w:r w:rsidR="00E063C6" w:rsidRPr="00A83B1D">
        <w:rPr>
          <w:color w:val="000000" w:themeColor="text1"/>
          <w:sz w:val="20"/>
          <w:szCs w:val="20"/>
        </w:rPr>
        <w:tab/>
      </w:r>
      <w:r w:rsidR="00E063C6" w:rsidRPr="00A83B1D">
        <w:rPr>
          <w:color w:val="000000" w:themeColor="text1"/>
          <w:sz w:val="20"/>
          <w:szCs w:val="20"/>
        </w:rPr>
        <w:tab/>
        <w:t>The Terrace WELLINGTON 6143</w:t>
      </w:r>
    </w:p>
    <w:p w14:paraId="3A75EADD" w14:textId="77777777" w:rsidR="00E063C6" w:rsidRPr="00A83B1D" w:rsidRDefault="00E063C6" w:rsidP="00E203C2">
      <w:pPr>
        <w:tabs>
          <w:tab w:val="left" w:pos="4536"/>
        </w:tabs>
        <w:rPr>
          <w:color w:val="000000" w:themeColor="text1"/>
          <w:sz w:val="20"/>
          <w:szCs w:val="20"/>
        </w:rPr>
      </w:pPr>
      <w:r w:rsidRPr="00A83B1D">
        <w:rPr>
          <w:color w:val="000000" w:themeColor="text1"/>
          <w:sz w:val="20"/>
          <w:szCs w:val="20"/>
        </w:rPr>
        <w:t>AUSTRALIA</w:t>
      </w:r>
      <w:r w:rsidRPr="00A83B1D">
        <w:rPr>
          <w:color w:val="000000" w:themeColor="text1"/>
          <w:sz w:val="20"/>
          <w:szCs w:val="20"/>
        </w:rPr>
        <w:tab/>
      </w:r>
      <w:r w:rsidRPr="00A83B1D">
        <w:rPr>
          <w:color w:val="000000" w:themeColor="text1"/>
          <w:sz w:val="20"/>
          <w:szCs w:val="20"/>
        </w:rPr>
        <w:tab/>
        <w:t>NEW ZEALAND</w:t>
      </w:r>
    </w:p>
    <w:p w14:paraId="00F6021D" w14:textId="1CADC491" w:rsidR="000C190F" w:rsidRDefault="00E063C6" w:rsidP="000C190F">
      <w:pPr>
        <w:rPr>
          <w:color w:val="000000" w:themeColor="text1"/>
          <w:sz w:val="20"/>
          <w:szCs w:val="20"/>
        </w:rPr>
      </w:pPr>
      <w:r w:rsidRPr="00A83B1D">
        <w:rPr>
          <w:color w:val="000000" w:themeColor="text1"/>
          <w:sz w:val="20"/>
          <w:szCs w:val="20"/>
        </w:rPr>
        <w:t xml:space="preserve">Tel </w:t>
      </w:r>
      <w:r w:rsidR="00DD3C5E" w:rsidRPr="00A83B1D">
        <w:rPr>
          <w:color w:val="000000" w:themeColor="text1"/>
          <w:sz w:val="20"/>
          <w:szCs w:val="20"/>
        </w:rPr>
        <w:t>+61 2</w:t>
      </w:r>
      <w:r w:rsidRPr="00A83B1D">
        <w:rPr>
          <w:color w:val="000000" w:themeColor="text1"/>
          <w:sz w:val="20"/>
          <w:szCs w:val="20"/>
        </w:rPr>
        <w:t xml:space="preserve"> 6271 2222  </w:t>
      </w:r>
      <w:r w:rsidRPr="00A83B1D">
        <w:rPr>
          <w:color w:val="000000" w:themeColor="text1"/>
          <w:sz w:val="20"/>
          <w:szCs w:val="20"/>
        </w:rPr>
        <w:tab/>
      </w:r>
      <w:r w:rsidRPr="00A83B1D">
        <w:rPr>
          <w:color w:val="000000" w:themeColor="text1"/>
          <w:sz w:val="20"/>
          <w:szCs w:val="20"/>
        </w:rPr>
        <w:tab/>
      </w:r>
      <w:r w:rsidR="000C190F">
        <w:rPr>
          <w:color w:val="000000" w:themeColor="text1"/>
          <w:sz w:val="20"/>
          <w:szCs w:val="20"/>
        </w:rPr>
        <w:tab/>
      </w:r>
      <w:r w:rsidR="000C190F">
        <w:rPr>
          <w:color w:val="000000" w:themeColor="text1"/>
          <w:sz w:val="20"/>
          <w:szCs w:val="20"/>
        </w:rPr>
        <w:tab/>
      </w:r>
      <w:r w:rsidR="000C190F">
        <w:rPr>
          <w:color w:val="000000" w:themeColor="text1"/>
          <w:sz w:val="20"/>
          <w:szCs w:val="20"/>
        </w:rPr>
        <w:tab/>
      </w:r>
      <w:r w:rsidRPr="00A83B1D">
        <w:rPr>
          <w:color w:val="000000" w:themeColor="text1"/>
          <w:sz w:val="20"/>
          <w:szCs w:val="20"/>
        </w:rPr>
        <w:t xml:space="preserve">Tel </w:t>
      </w:r>
      <w:r w:rsidR="00DD3C5E" w:rsidRPr="00A83B1D">
        <w:rPr>
          <w:color w:val="000000" w:themeColor="text1"/>
          <w:sz w:val="20"/>
          <w:szCs w:val="20"/>
        </w:rPr>
        <w:t>+64 4</w:t>
      </w:r>
      <w:r w:rsidR="0037520F" w:rsidRPr="00A83B1D">
        <w:rPr>
          <w:color w:val="000000" w:themeColor="text1"/>
          <w:sz w:val="20"/>
          <w:szCs w:val="20"/>
        </w:rPr>
        <w:t xml:space="preserve"> 978 5630</w:t>
      </w:r>
    </w:p>
    <w:p w14:paraId="73EB12D5" w14:textId="78BBB0E1"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1C3E59DC" w14:textId="77777777" w:rsidR="00562917" w:rsidRPr="00AE766D" w:rsidRDefault="00562917" w:rsidP="00051ED9">
      <w:pPr>
        <w:rPr>
          <w:rFonts w:cs="Arial"/>
        </w:rPr>
      </w:pPr>
    </w:p>
    <w:p w14:paraId="609F1945" w14:textId="77777777" w:rsidR="00524C88"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90726021" w:history="1">
        <w:r w:rsidR="00524C88" w:rsidRPr="00ED083D">
          <w:rPr>
            <w:rStyle w:val="Hyperlink"/>
            <w:noProof/>
          </w:rPr>
          <w:t>Executive summary</w:t>
        </w:r>
        <w:r w:rsidR="00524C88">
          <w:rPr>
            <w:noProof/>
            <w:webHidden/>
          </w:rPr>
          <w:tab/>
        </w:r>
        <w:r w:rsidR="00524C88">
          <w:rPr>
            <w:noProof/>
            <w:webHidden/>
          </w:rPr>
          <w:fldChar w:fldCharType="begin"/>
        </w:r>
        <w:r w:rsidR="00524C88">
          <w:rPr>
            <w:noProof/>
            <w:webHidden/>
          </w:rPr>
          <w:instrText xml:space="preserve"> PAGEREF _Toc490726021 \h </w:instrText>
        </w:r>
        <w:r w:rsidR="00524C88">
          <w:rPr>
            <w:noProof/>
            <w:webHidden/>
          </w:rPr>
        </w:r>
        <w:r w:rsidR="00524C88">
          <w:rPr>
            <w:noProof/>
            <w:webHidden/>
          </w:rPr>
          <w:fldChar w:fldCharType="separate"/>
        </w:r>
        <w:r w:rsidR="00516720">
          <w:rPr>
            <w:noProof/>
            <w:webHidden/>
          </w:rPr>
          <w:t>3</w:t>
        </w:r>
        <w:r w:rsidR="00524C88">
          <w:rPr>
            <w:noProof/>
            <w:webHidden/>
          </w:rPr>
          <w:fldChar w:fldCharType="end"/>
        </w:r>
      </w:hyperlink>
    </w:p>
    <w:p w14:paraId="52995664" w14:textId="77777777" w:rsidR="00524C88" w:rsidRDefault="005167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0726022" w:history="1">
        <w:r w:rsidR="00524C88" w:rsidRPr="00ED083D">
          <w:rPr>
            <w:rStyle w:val="Hyperlink"/>
            <w:noProof/>
          </w:rPr>
          <w:t>1</w:t>
        </w:r>
        <w:r w:rsidR="00524C88">
          <w:rPr>
            <w:rFonts w:eastAsiaTheme="minorEastAsia" w:cstheme="minorBidi"/>
            <w:b w:val="0"/>
            <w:bCs w:val="0"/>
            <w:caps w:val="0"/>
            <w:noProof/>
            <w:sz w:val="22"/>
            <w:szCs w:val="22"/>
            <w:lang w:eastAsia="en-GB" w:bidi="ar-SA"/>
          </w:rPr>
          <w:tab/>
        </w:r>
        <w:r w:rsidR="00524C88" w:rsidRPr="00ED083D">
          <w:rPr>
            <w:rStyle w:val="Hyperlink"/>
            <w:noProof/>
          </w:rPr>
          <w:t>Introduction</w:t>
        </w:r>
        <w:r w:rsidR="00524C88">
          <w:rPr>
            <w:noProof/>
            <w:webHidden/>
          </w:rPr>
          <w:tab/>
        </w:r>
        <w:r w:rsidR="00524C88">
          <w:rPr>
            <w:noProof/>
            <w:webHidden/>
          </w:rPr>
          <w:fldChar w:fldCharType="begin"/>
        </w:r>
        <w:r w:rsidR="00524C88">
          <w:rPr>
            <w:noProof/>
            <w:webHidden/>
          </w:rPr>
          <w:instrText xml:space="preserve"> PAGEREF _Toc490726022 \h </w:instrText>
        </w:r>
        <w:r w:rsidR="00524C88">
          <w:rPr>
            <w:noProof/>
            <w:webHidden/>
          </w:rPr>
        </w:r>
        <w:r w:rsidR="00524C88">
          <w:rPr>
            <w:noProof/>
            <w:webHidden/>
          </w:rPr>
          <w:fldChar w:fldCharType="separate"/>
        </w:r>
        <w:r>
          <w:rPr>
            <w:noProof/>
            <w:webHidden/>
          </w:rPr>
          <w:t>4</w:t>
        </w:r>
        <w:r w:rsidR="00524C88">
          <w:rPr>
            <w:noProof/>
            <w:webHidden/>
          </w:rPr>
          <w:fldChar w:fldCharType="end"/>
        </w:r>
      </w:hyperlink>
    </w:p>
    <w:p w14:paraId="5F940A80" w14:textId="77777777" w:rsidR="00524C88" w:rsidRDefault="00516720">
      <w:pPr>
        <w:pStyle w:val="TOC2"/>
        <w:tabs>
          <w:tab w:val="left" w:pos="880"/>
          <w:tab w:val="right" w:leader="dot" w:pos="9060"/>
        </w:tabs>
        <w:rPr>
          <w:rFonts w:eastAsiaTheme="minorEastAsia" w:cstheme="minorBidi"/>
          <w:smallCaps w:val="0"/>
          <w:noProof/>
          <w:sz w:val="22"/>
          <w:szCs w:val="22"/>
          <w:lang w:eastAsia="en-GB" w:bidi="ar-SA"/>
        </w:rPr>
      </w:pPr>
      <w:hyperlink w:anchor="_Toc490726023" w:history="1">
        <w:r w:rsidR="00524C88" w:rsidRPr="00ED083D">
          <w:rPr>
            <w:rStyle w:val="Hyperlink"/>
            <w:noProof/>
          </w:rPr>
          <w:t>1.1</w:t>
        </w:r>
        <w:r w:rsidR="00524C88">
          <w:rPr>
            <w:rFonts w:eastAsiaTheme="minorEastAsia" w:cstheme="minorBidi"/>
            <w:smallCaps w:val="0"/>
            <w:noProof/>
            <w:sz w:val="22"/>
            <w:szCs w:val="22"/>
            <w:lang w:eastAsia="en-GB" w:bidi="ar-SA"/>
          </w:rPr>
          <w:tab/>
        </w:r>
        <w:r w:rsidR="00524C88" w:rsidRPr="00ED083D">
          <w:rPr>
            <w:rStyle w:val="Hyperlink"/>
            <w:noProof/>
          </w:rPr>
          <w:t>The Applicant</w:t>
        </w:r>
        <w:r w:rsidR="00524C88">
          <w:rPr>
            <w:noProof/>
            <w:webHidden/>
          </w:rPr>
          <w:tab/>
        </w:r>
        <w:r w:rsidR="00524C88">
          <w:rPr>
            <w:noProof/>
            <w:webHidden/>
          </w:rPr>
          <w:fldChar w:fldCharType="begin"/>
        </w:r>
        <w:r w:rsidR="00524C88">
          <w:rPr>
            <w:noProof/>
            <w:webHidden/>
          </w:rPr>
          <w:instrText xml:space="preserve"> PAGEREF _Toc490726023 \h </w:instrText>
        </w:r>
        <w:r w:rsidR="00524C88">
          <w:rPr>
            <w:noProof/>
            <w:webHidden/>
          </w:rPr>
        </w:r>
        <w:r w:rsidR="00524C88">
          <w:rPr>
            <w:noProof/>
            <w:webHidden/>
          </w:rPr>
          <w:fldChar w:fldCharType="separate"/>
        </w:r>
        <w:r>
          <w:rPr>
            <w:noProof/>
            <w:webHidden/>
          </w:rPr>
          <w:t>4</w:t>
        </w:r>
        <w:r w:rsidR="00524C88">
          <w:rPr>
            <w:noProof/>
            <w:webHidden/>
          </w:rPr>
          <w:fldChar w:fldCharType="end"/>
        </w:r>
      </w:hyperlink>
    </w:p>
    <w:p w14:paraId="4D63B7FA" w14:textId="77777777" w:rsidR="00524C88" w:rsidRDefault="00516720">
      <w:pPr>
        <w:pStyle w:val="TOC2"/>
        <w:tabs>
          <w:tab w:val="left" w:pos="880"/>
          <w:tab w:val="right" w:leader="dot" w:pos="9060"/>
        </w:tabs>
        <w:rPr>
          <w:rFonts w:eastAsiaTheme="minorEastAsia" w:cstheme="minorBidi"/>
          <w:smallCaps w:val="0"/>
          <w:noProof/>
          <w:sz w:val="22"/>
          <w:szCs w:val="22"/>
          <w:lang w:eastAsia="en-GB" w:bidi="ar-SA"/>
        </w:rPr>
      </w:pPr>
      <w:hyperlink w:anchor="_Toc490726024" w:history="1">
        <w:r w:rsidR="00524C88" w:rsidRPr="00ED083D">
          <w:rPr>
            <w:rStyle w:val="Hyperlink"/>
            <w:noProof/>
          </w:rPr>
          <w:t>1.2</w:t>
        </w:r>
        <w:r w:rsidR="00524C88">
          <w:rPr>
            <w:rFonts w:eastAsiaTheme="minorEastAsia" w:cstheme="minorBidi"/>
            <w:smallCaps w:val="0"/>
            <w:noProof/>
            <w:sz w:val="22"/>
            <w:szCs w:val="22"/>
            <w:lang w:eastAsia="en-GB" w:bidi="ar-SA"/>
          </w:rPr>
          <w:tab/>
        </w:r>
        <w:r w:rsidR="00524C88" w:rsidRPr="00ED083D">
          <w:rPr>
            <w:rStyle w:val="Hyperlink"/>
            <w:noProof/>
          </w:rPr>
          <w:t>The Application</w:t>
        </w:r>
        <w:r w:rsidR="00524C88">
          <w:rPr>
            <w:noProof/>
            <w:webHidden/>
          </w:rPr>
          <w:tab/>
        </w:r>
        <w:r w:rsidR="00524C88">
          <w:rPr>
            <w:noProof/>
            <w:webHidden/>
          </w:rPr>
          <w:fldChar w:fldCharType="begin"/>
        </w:r>
        <w:r w:rsidR="00524C88">
          <w:rPr>
            <w:noProof/>
            <w:webHidden/>
          </w:rPr>
          <w:instrText xml:space="preserve"> PAGEREF _Toc490726024 \h </w:instrText>
        </w:r>
        <w:r w:rsidR="00524C88">
          <w:rPr>
            <w:noProof/>
            <w:webHidden/>
          </w:rPr>
        </w:r>
        <w:r w:rsidR="00524C88">
          <w:rPr>
            <w:noProof/>
            <w:webHidden/>
          </w:rPr>
          <w:fldChar w:fldCharType="separate"/>
        </w:r>
        <w:r>
          <w:rPr>
            <w:noProof/>
            <w:webHidden/>
          </w:rPr>
          <w:t>4</w:t>
        </w:r>
        <w:r w:rsidR="00524C88">
          <w:rPr>
            <w:noProof/>
            <w:webHidden/>
          </w:rPr>
          <w:fldChar w:fldCharType="end"/>
        </w:r>
      </w:hyperlink>
    </w:p>
    <w:p w14:paraId="0595C5BE" w14:textId="77777777" w:rsidR="00524C88" w:rsidRDefault="00516720">
      <w:pPr>
        <w:pStyle w:val="TOC2"/>
        <w:tabs>
          <w:tab w:val="left" w:pos="880"/>
          <w:tab w:val="right" w:leader="dot" w:pos="9060"/>
        </w:tabs>
        <w:rPr>
          <w:rFonts w:eastAsiaTheme="minorEastAsia" w:cstheme="minorBidi"/>
          <w:smallCaps w:val="0"/>
          <w:noProof/>
          <w:sz w:val="22"/>
          <w:szCs w:val="22"/>
          <w:lang w:eastAsia="en-GB" w:bidi="ar-SA"/>
        </w:rPr>
      </w:pPr>
      <w:hyperlink w:anchor="_Toc490726025" w:history="1">
        <w:r w:rsidR="00524C88" w:rsidRPr="00ED083D">
          <w:rPr>
            <w:rStyle w:val="Hyperlink"/>
            <w:noProof/>
          </w:rPr>
          <w:t>1.3</w:t>
        </w:r>
        <w:r w:rsidR="00524C88">
          <w:rPr>
            <w:rFonts w:eastAsiaTheme="minorEastAsia" w:cstheme="minorBidi"/>
            <w:smallCaps w:val="0"/>
            <w:noProof/>
            <w:sz w:val="22"/>
            <w:szCs w:val="22"/>
            <w:lang w:eastAsia="en-GB" w:bidi="ar-SA"/>
          </w:rPr>
          <w:tab/>
        </w:r>
        <w:r w:rsidR="00524C88" w:rsidRPr="00ED083D">
          <w:rPr>
            <w:rStyle w:val="Hyperlink"/>
            <w:noProof/>
          </w:rPr>
          <w:t>The current standards</w:t>
        </w:r>
        <w:r w:rsidR="00524C88">
          <w:rPr>
            <w:noProof/>
            <w:webHidden/>
          </w:rPr>
          <w:tab/>
        </w:r>
        <w:r w:rsidR="00524C88">
          <w:rPr>
            <w:noProof/>
            <w:webHidden/>
          </w:rPr>
          <w:fldChar w:fldCharType="begin"/>
        </w:r>
        <w:r w:rsidR="00524C88">
          <w:rPr>
            <w:noProof/>
            <w:webHidden/>
          </w:rPr>
          <w:instrText xml:space="preserve"> PAGEREF _Toc490726025 \h </w:instrText>
        </w:r>
        <w:r w:rsidR="00524C88">
          <w:rPr>
            <w:noProof/>
            <w:webHidden/>
          </w:rPr>
        </w:r>
        <w:r w:rsidR="00524C88">
          <w:rPr>
            <w:noProof/>
            <w:webHidden/>
          </w:rPr>
          <w:fldChar w:fldCharType="separate"/>
        </w:r>
        <w:r>
          <w:rPr>
            <w:noProof/>
            <w:webHidden/>
          </w:rPr>
          <w:t>5</w:t>
        </w:r>
        <w:r w:rsidR="00524C88">
          <w:rPr>
            <w:noProof/>
            <w:webHidden/>
          </w:rPr>
          <w:fldChar w:fldCharType="end"/>
        </w:r>
      </w:hyperlink>
    </w:p>
    <w:p w14:paraId="5DCFCE48" w14:textId="77777777" w:rsidR="00524C88" w:rsidRDefault="00516720">
      <w:pPr>
        <w:pStyle w:val="TOC2"/>
        <w:tabs>
          <w:tab w:val="left" w:pos="880"/>
          <w:tab w:val="right" w:leader="dot" w:pos="9060"/>
        </w:tabs>
        <w:rPr>
          <w:rFonts w:eastAsiaTheme="minorEastAsia" w:cstheme="minorBidi"/>
          <w:smallCaps w:val="0"/>
          <w:noProof/>
          <w:sz w:val="22"/>
          <w:szCs w:val="22"/>
          <w:lang w:eastAsia="en-GB" w:bidi="ar-SA"/>
        </w:rPr>
      </w:pPr>
      <w:hyperlink w:anchor="_Toc490726026" w:history="1">
        <w:r w:rsidR="00524C88" w:rsidRPr="00ED083D">
          <w:rPr>
            <w:rStyle w:val="Hyperlink"/>
            <w:noProof/>
            <w:u w:color="FFFF00"/>
          </w:rPr>
          <w:t>1.4</w:t>
        </w:r>
        <w:r w:rsidR="00524C88">
          <w:rPr>
            <w:rFonts w:eastAsiaTheme="minorEastAsia" w:cstheme="minorBidi"/>
            <w:smallCaps w:val="0"/>
            <w:noProof/>
            <w:sz w:val="22"/>
            <w:szCs w:val="22"/>
            <w:lang w:eastAsia="en-GB" w:bidi="ar-SA"/>
          </w:rPr>
          <w:tab/>
        </w:r>
        <w:r w:rsidR="00524C88" w:rsidRPr="00ED083D">
          <w:rPr>
            <w:rStyle w:val="Hyperlink"/>
            <w:noProof/>
            <w:u w:color="FFFF00"/>
          </w:rPr>
          <w:t>Reasons for accepting Application</w:t>
        </w:r>
        <w:r w:rsidR="00524C88">
          <w:rPr>
            <w:noProof/>
            <w:webHidden/>
          </w:rPr>
          <w:tab/>
        </w:r>
        <w:r w:rsidR="00524C88">
          <w:rPr>
            <w:noProof/>
            <w:webHidden/>
          </w:rPr>
          <w:fldChar w:fldCharType="begin"/>
        </w:r>
        <w:r w:rsidR="00524C88">
          <w:rPr>
            <w:noProof/>
            <w:webHidden/>
          </w:rPr>
          <w:instrText xml:space="preserve"> PAGEREF _Toc490726026 \h </w:instrText>
        </w:r>
        <w:r w:rsidR="00524C88">
          <w:rPr>
            <w:noProof/>
            <w:webHidden/>
          </w:rPr>
        </w:r>
        <w:r w:rsidR="00524C88">
          <w:rPr>
            <w:noProof/>
            <w:webHidden/>
          </w:rPr>
          <w:fldChar w:fldCharType="separate"/>
        </w:r>
        <w:r>
          <w:rPr>
            <w:noProof/>
            <w:webHidden/>
          </w:rPr>
          <w:t>6</w:t>
        </w:r>
        <w:r w:rsidR="00524C88">
          <w:rPr>
            <w:noProof/>
            <w:webHidden/>
          </w:rPr>
          <w:fldChar w:fldCharType="end"/>
        </w:r>
      </w:hyperlink>
    </w:p>
    <w:p w14:paraId="08298C35" w14:textId="77777777" w:rsidR="00524C88" w:rsidRDefault="00516720">
      <w:pPr>
        <w:pStyle w:val="TOC2"/>
        <w:tabs>
          <w:tab w:val="left" w:pos="880"/>
          <w:tab w:val="right" w:leader="dot" w:pos="9060"/>
        </w:tabs>
        <w:rPr>
          <w:rFonts w:eastAsiaTheme="minorEastAsia" w:cstheme="minorBidi"/>
          <w:smallCaps w:val="0"/>
          <w:noProof/>
          <w:sz w:val="22"/>
          <w:szCs w:val="22"/>
          <w:lang w:eastAsia="en-GB" w:bidi="ar-SA"/>
        </w:rPr>
      </w:pPr>
      <w:hyperlink w:anchor="_Toc490726027" w:history="1">
        <w:r w:rsidR="00524C88" w:rsidRPr="00ED083D">
          <w:rPr>
            <w:rStyle w:val="Hyperlink"/>
            <w:noProof/>
          </w:rPr>
          <w:t>1.5</w:t>
        </w:r>
        <w:r w:rsidR="00524C88">
          <w:rPr>
            <w:rFonts w:eastAsiaTheme="minorEastAsia" w:cstheme="minorBidi"/>
            <w:smallCaps w:val="0"/>
            <w:noProof/>
            <w:sz w:val="22"/>
            <w:szCs w:val="22"/>
            <w:lang w:eastAsia="en-GB" w:bidi="ar-SA"/>
          </w:rPr>
          <w:tab/>
        </w:r>
        <w:r w:rsidR="00524C88" w:rsidRPr="00ED083D">
          <w:rPr>
            <w:rStyle w:val="Hyperlink"/>
            <w:noProof/>
          </w:rPr>
          <w:t>Procedure for assessment</w:t>
        </w:r>
        <w:r w:rsidR="00524C88">
          <w:rPr>
            <w:noProof/>
            <w:webHidden/>
          </w:rPr>
          <w:tab/>
        </w:r>
        <w:r w:rsidR="00524C88">
          <w:rPr>
            <w:noProof/>
            <w:webHidden/>
          </w:rPr>
          <w:fldChar w:fldCharType="begin"/>
        </w:r>
        <w:r w:rsidR="00524C88">
          <w:rPr>
            <w:noProof/>
            <w:webHidden/>
          </w:rPr>
          <w:instrText xml:space="preserve"> PAGEREF _Toc490726027 \h </w:instrText>
        </w:r>
        <w:r w:rsidR="00524C88">
          <w:rPr>
            <w:noProof/>
            <w:webHidden/>
          </w:rPr>
        </w:r>
        <w:r w:rsidR="00524C88">
          <w:rPr>
            <w:noProof/>
            <w:webHidden/>
          </w:rPr>
          <w:fldChar w:fldCharType="separate"/>
        </w:r>
        <w:r>
          <w:rPr>
            <w:noProof/>
            <w:webHidden/>
          </w:rPr>
          <w:t>6</w:t>
        </w:r>
        <w:r w:rsidR="00524C88">
          <w:rPr>
            <w:noProof/>
            <w:webHidden/>
          </w:rPr>
          <w:fldChar w:fldCharType="end"/>
        </w:r>
      </w:hyperlink>
    </w:p>
    <w:p w14:paraId="3CF47DE2" w14:textId="77777777" w:rsidR="00524C88" w:rsidRDefault="005167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0726028" w:history="1">
        <w:r w:rsidR="00524C88" w:rsidRPr="00ED083D">
          <w:rPr>
            <w:rStyle w:val="Hyperlink"/>
            <w:noProof/>
          </w:rPr>
          <w:t>2</w:t>
        </w:r>
        <w:r w:rsidR="00524C88">
          <w:rPr>
            <w:rFonts w:eastAsiaTheme="minorEastAsia" w:cstheme="minorBidi"/>
            <w:b w:val="0"/>
            <w:bCs w:val="0"/>
            <w:caps w:val="0"/>
            <w:noProof/>
            <w:sz w:val="22"/>
            <w:szCs w:val="22"/>
            <w:lang w:eastAsia="en-GB" w:bidi="ar-SA"/>
          </w:rPr>
          <w:tab/>
        </w:r>
        <w:r w:rsidR="00524C88" w:rsidRPr="00ED083D">
          <w:rPr>
            <w:rStyle w:val="Hyperlink"/>
            <w:noProof/>
          </w:rPr>
          <w:t>Summary of the assessment</w:t>
        </w:r>
        <w:r w:rsidR="00524C88">
          <w:rPr>
            <w:noProof/>
            <w:webHidden/>
          </w:rPr>
          <w:tab/>
        </w:r>
        <w:r w:rsidR="00524C88">
          <w:rPr>
            <w:noProof/>
            <w:webHidden/>
          </w:rPr>
          <w:fldChar w:fldCharType="begin"/>
        </w:r>
        <w:r w:rsidR="00524C88">
          <w:rPr>
            <w:noProof/>
            <w:webHidden/>
          </w:rPr>
          <w:instrText xml:space="preserve"> PAGEREF _Toc490726028 \h </w:instrText>
        </w:r>
        <w:r w:rsidR="00524C88">
          <w:rPr>
            <w:noProof/>
            <w:webHidden/>
          </w:rPr>
        </w:r>
        <w:r w:rsidR="00524C88">
          <w:rPr>
            <w:noProof/>
            <w:webHidden/>
          </w:rPr>
          <w:fldChar w:fldCharType="separate"/>
        </w:r>
        <w:r>
          <w:rPr>
            <w:noProof/>
            <w:webHidden/>
          </w:rPr>
          <w:t>6</w:t>
        </w:r>
        <w:r w:rsidR="00524C88">
          <w:rPr>
            <w:noProof/>
            <w:webHidden/>
          </w:rPr>
          <w:fldChar w:fldCharType="end"/>
        </w:r>
      </w:hyperlink>
    </w:p>
    <w:p w14:paraId="0A8E1C86" w14:textId="77777777" w:rsidR="00524C88" w:rsidRDefault="00516720">
      <w:pPr>
        <w:pStyle w:val="TOC2"/>
        <w:tabs>
          <w:tab w:val="left" w:pos="880"/>
          <w:tab w:val="right" w:leader="dot" w:pos="9060"/>
        </w:tabs>
        <w:rPr>
          <w:rFonts w:eastAsiaTheme="minorEastAsia" w:cstheme="minorBidi"/>
          <w:smallCaps w:val="0"/>
          <w:noProof/>
          <w:sz w:val="22"/>
          <w:szCs w:val="22"/>
          <w:lang w:eastAsia="en-GB" w:bidi="ar-SA"/>
        </w:rPr>
      </w:pPr>
      <w:hyperlink w:anchor="_Toc490726029" w:history="1">
        <w:r w:rsidR="00524C88" w:rsidRPr="00ED083D">
          <w:rPr>
            <w:rStyle w:val="Hyperlink"/>
            <w:noProof/>
          </w:rPr>
          <w:t>2.1</w:t>
        </w:r>
        <w:r w:rsidR="00524C88">
          <w:rPr>
            <w:rFonts w:eastAsiaTheme="minorEastAsia" w:cstheme="minorBidi"/>
            <w:smallCaps w:val="0"/>
            <w:noProof/>
            <w:sz w:val="22"/>
            <w:szCs w:val="22"/>
            <w:lang w:eastAsia="en-GB" w:bidi="ar-SA"/>
          </w:rPr>
          <w:tab/>
        </w:r>
        <w:r w:rsidR="00524C88" w:rsidRPr="00ED083D">
          <w:rPr>
            <w:rStyle w:val="Hyperlink"/>
            <w:noProof/>
          </w:rPr>
          <w:t>Safety and nutrition risk assessment</w:t>
        </w:r>
        <w:r w:rsidR="00524C88">
          <w:rPr>
            <w:noProof/>
            <w:webHidden/>
          </w:rPr>
          <w:tab/>
        </w:r>
        <w:r w:rsidR="00524C88">
          <w:rPr>
            <w:noProof/>
            <w:webHidden/>
          </w:rPr>
          <w:fldChar w:fldCharType="begin"/>
        </w:r>
        <w:r w:rsidR="00524C88">
          <w:rPr>
            <w:noProof/>
            <w:webHidden/>
          </w:rPr>
          <w:instrText xml:space="preserve"> PAGEREF _Toc490726029 \h </w:instrText>
        </w:r>
        <w:r w:rsidR="00524C88">
          <w:rPr>
            <w:noProof/>
            <w:webHidden/>
          </w:rPr>
        </w:r>
        <w:r w:rsidR="00524C88">
          <w:rPr>
            <w:noProof/>
            <w:webHidden/>
          </w:rPr>
          <w:fldChar w:fldCharType="separate"/>
        </w:r>
        <w:r>
          <w:rPr>
            <w:noProof/>
            <w:webHidden/>
          </w:rPr>
          <w:t>6</w:t>
        </w:r>
        <w:r w:rsidR="00524C88">
          <w:rPr>
            <w:noProof/>
            <w:webHidden/>
          </w:rPr>
          <w:fldChar w:fldCharType="end"/>
        </w:r>
      </w:hyperlink>
    </w:p>
    <w:p w14:paraId="08E8F6DB" w14:textId="77777777" w:rsidR="00524C88" w:rsidRDefault="00516720">
      <w:pPr>
        <w:pStyle w:val="TOC2"/>
        <w:tabs>
          <w:tab w:val="left" w:pos="880"/>
          <w:tab w:val="right" w:leader="dot" w:pos="9060"/>
        </w:tabs>
        <w:rPr>
          <w:rFonts w:eastAsiaTheme="minorEastAsia" w:cstheme="minorBidi"/>
          <w:smallCaps w:val="0"/>
          <w:noProof/>
          <w:sz w:val="22"/>
          <w:szCs w:val="22"/>
          <w:lang w:eastAsia="en-GB" w:bidi="ar-SA"/>
        </w:rPr>
      </w:pPr>
      <w:hyperlink w:anchor="_Toc490726030" w:history="1">
        <w:r w:rsidR="00524C88" w:rsidRPr="00ED083D">
          <w:rPr>
            <w:rStyle w:val="Hyperlink"/>
            <w:noProof/>
          </w:rPr>
          <w:t>2.2</w:t>
        </w:r>
        <w:r w:rsidR="00524C88">
          <w:rPr>
            <w:rFonts w:eastAsiaTheme="minorEastAsia" w:cstheme="minorBidi"/>
            <w:smallCaps w:val="0"/>
            <w:noProof/>
            <w:sz w:val="22"/>
            <w:szCs w:val="22"/>
            <w:lang w:eastAsia="en-GB" w:bidi="ar-SA"/>
          </w:rPr>
          <w:tab/>
        </w:r>
        <w:r w:rsidR="00524C88" w:rsidRPr="00ED083D">
          <w:rPr>
            <w:rStyle w:val="Hyperlink"/>
            <w:noProof/>
          </w:rPr>
          <w:t>Risk management</w:t>
        </w:r>
        <w:r w:rsidR="00524C88">
          <w:rPr>
            <w:noProof/>
            <w:webHidden/>
          </w:rPr>
          <w:tab/>
        </w:r>
        <w:r w:rsidR="00524C88">
          <w:rPr>
            <w:noProof/>
            <w:webHidden/>
          </w:rPr>
          <w:fldChar w:fldCharType="begin"/>
        </w:r>
        <w:r w:rsidR="00524C88">
          <w:rPr>
            <w:noProof/>
            <w:webHidden/>
          </w:rPr>
          <w:instrText xml:space="preserve"> PAGEREF _Toc490726030 \h </w:instrText>
        </w:r>
        <w:r w:rsidR="00524C88">
          <w:rPr>
            <w:noProof/>
            <w:webHidden/>
          </w:rPr>
        </w:r>
        <w:r w:rsidR="00524C88">
          <w:rPr>
            <w:noProof/>
            <w:webHidden/>
          </w:rPr>
          <w:fldChar w:fldCharType="separate"/>
        </w:r>
        <w:r>
          <w:rPr>
            <w:noProof/>
            <w:webHidden/>
          </w:rPr>
          <w:t>7</w:t>
        </w:r>
        <w:r w:rsidR="00524C88">
          <w:rPr>
            <w:noProof/>
            <w:webHidden/>
          </w:rPr>
          <w:fldChar w:fldCharType="end"/>
        </w:r>
      </w:hyperlink>
    </w:p>
    <w:p w14:paraId="6C52EF8C" w14:textId="77777777" w:rsidR="00524C88" w:rsidRDefault="00516720">
      <w:pPr>
        <w:pStyle w:val="TOC3"/>
        <w:tabs>
          <w:tab w:val="left" w:pos="1100"/>
          <w:tab w:val="right" w:leader="dot" w:pos="9060"/>
        </w:tabs>
        <w:rPr>
          <w:rFonts w:eastAsiaTheme="minorEastAsia" w:cstheme="minorBidi"/>
          <w:i w:val="0"/>
          <w:iCs w:val="0"/>
          <w:noProof/>
          <w:sz w:val="22"/>
          <w:szCs w:val="22"/>
          <w:lang w:eastAsia="en-GB" w:bidi="ar-SA"/>
        </w:rPr>
      </w:pPr>
      <w:hyperlink w:anchor="_Toc490726031" w:history="1">
        <w:r w:rsidR="00524C88" w:rsidRPr="00ED083D">
          <w:rPr>
            <w:rStyle w:val="Hyperlink"/>
            <w:noProof/>
          </w:rPr>
          <w:t>2.2.1</w:t>
        </w:r>
        <w:r w:rsidR="00524C88">
          <w:rPr>
            <w:rFonts w:eastAsiaTheme="minorEastAsia" w:cstheme="minorBidi"/>
            <w:i w:val="0"/>
            <w:iCs w:val="0"/>
            <w:noProof/>
            <w:sz w:val="22"/>
            <w:szCs w:val="22"/>
            <w:lang w:eastAsia="en-GB" w:bidi="ar-SA"/>
          </w:rPr>
          <w:tab/>
        </w:r>
        <w:r w:rsidR="00524C88" w:rsidRPr="00ED083D">
          <w:rPr>
            <w:rStyle w:val="Hyperlink"/>
            <w:noProof/>
          </w:rPr>
          <w:t>Nutrition issues</w:t>
        </w:r>
        <w:r w:rsidR="00524C88">
          <w:rPr>
            <w:noProof/>
            <w:webHidden/>
          </w:rPr>
          <w:tab/>
        </w:r>
        <w:r w:rsidR="00524C88">
          <w:rPr>
            <w:noProof/>
            <w:webHidden/>
          </w:rPr>
          <w:fldChar w:fldCharType="begin"/>
        </w:r>
        <w:r w:rsidR="00524C88">
          <w:rPr>
            <w:noProof/>
            <w:webHidden/>
          </w:rPr>
          <w:instrText xml:space="preserve"> PAGEREF _Toc490726031 \h </w:instrText>
        </w:r>
        <w:r w:rsidR="00524C88">
          <w:rPr>
            <w:noProof/>
            <w:webHidden/>
          </w:rPr>
        </w:r>
        <w:r w:rsidR="00524C88">
          <w:rPr>
            <w:noProof/>
            <w:webHidden/>
          </w:rPr>
          <w:fldChar w:fldCharType="separate"/>
        </w:r>
        <w:r>
          <w:rPr>
            <w:noProof/>
            <w:webHidden/>
          </w:rPr>
          <w:t>7</w:t>
        </w:r>
        <w:r w:rsidR="00524C88">
          <w:rPr>
            <w:noProof/>
            <w:webHidden/>
          </w:rPr>
          <w:fldChar w:fldCharType="end"/>
        </w:r>
      </w:hyperlink>
    </w:p>
    <w:p w14:paraId="44BCAC58" w14:textId="77777777" w:rsidR="00524C88" w:rsidRDefault="00516720">
      <w:pPr>
        <w:pStyle w:val="TOC3"/>
        <w:tabs>
          <w:tab w:val="left" w:pos="1100"/>
          <w:tab w:val="right" w:leader="dot" w:pos="9060"/>
        </w:tabs>
        <w:rPr>
          <w:rFonts w:eastAsiaTheme="minorEastAsia" w:cstheme="minorBidi"/>
          <w:i w:val="0"/>
          <w:iCs w:val="0"/>
          <w:noProof/>
          <w:sz w:val="22"/>
          <w:szCs w:val="22"/>
          <w:lang w:eastAsia="en-GB" w:bidi="ar-SA"/>
        </w:rPr>
      </w:pPr>
      <w:hyperlink w:anchor="_Toc490726032" w:history="1">
        <w:r w:rsidR="00524C88" w:rsidRPr="00ED083D">
          <w:rPr>
            <w:rStyle w:val="Hyperlink"/>
            <w:noProof/>
          </w:rPr>
          <w:t>2.2.2</w:t>
        </w:r>
        <w:r w:rsidR="00524C88">
          <w:rPr>
            <w:rFonts w:eastAsiaTheme="minorEastAsia" w:cstheme="minorBidi"/>
            <w:i w:val="0"/>
            <w:iCs w:val="0"/>
            <w:noProof/>
            <w:sz w:val="22"/>
            <w:szCs w:val="22"/>
            <w:lang w:eastAsia="en-GB" w:bidi="ar-SA"/>
          </w:rPr>
          <w:tab/>
        </w:r>
        <w:r w:rsidR="00524C88" w:rsidRPr="00ED083D">
          <w:rPr>
            <w:rStyle w:val="Hyperlink"/>
            <w:noProof/>
          </w:rPr>
          <w:t>Labelling</w:t>
        </w:r>
        <w:r w:rsidR="00524C88">
          <w:rPr>
            <w:noProof/>
            <w:webHidden/>
          </w:rPr>
          <w:tab/>
        </w:r>
        <w:r w:rsidR="00524C88">
          <w:rPr>
            <w:noProof/>
            <w:webHidden/>
          </w:rPr>
          <w:fldChar w:fldCharType="begin"/>
        </w:r>
        <w:r w:rsidR="00524C88">
          <w:rPr>
            <w:noProof/>
            <w:webHidden/>
          </w:rPr>
          <w:instrText xml:space="preserve"> PAGEREF _Toc490726032 \h </w:instrText>
        </w:r>
        <w:r w:rsidR="00524C88">
          <w:rPr>
            <w:noProof/>
            <w:webHidden/>
          </w:rPr>
        </w:r>
        <w:r w:rsidR="00524C88">
          <w:rPr>
            <w:noProof/>
            <w:webHidden/>
          </w:rPr>
          <w:fldChar w:fldCharType="separate"/>
        </w:r>
        <w:r>
          <w:rPr>
            <w:noProof/>
            <w:webHidden/>
          </w:rPr>
          <w:t>8</w:t>
        </w:r>
        <w:r w:rsidR="00524C88">
          <w:rPr>
            <w:noProof/>
            <w:webHidden/>
          </w:rPr>
          <w:fldChar w:fldCharType="end"/>
        </w:r>
      </w:hyperlink>
    </w:p>
    <w:p w14:paraId="152C87C2" w14:textId="77777777" w:rsidR="00524C88" w:rsidRDefault="00516720">
      <w:pPr>
        <w:pStyle w:val="TOC3"/>
        <w:tabs>
          <w:tab w:val="left" w:pos="1100"/>
          <w:tab w:val="right" w:leader="dot" w:pos="9060"/>
        </w:tabs>
        <w:rPr>
          <w:rFonts w:eastAsiaTheme="minorEastAsia" w:cstheme="minorBidi"/>
          <w:i w:val="0"/>
          <w:iCs w:val="0"/>
          <w:noProof/>
          <w:sz w:val="22"/>
          <w:szCs w:val="22"/>
          <w:lang w:eastAsia="en-GB" w:bidi="ar-SA"/>
        </w:rPr>
      </w:pPr>
      <w:hyperlink w:anchor="_Toc490726033" w:history="1">
        <w:r w:rsidR="00524C88" w:rsidRPr="00ED083D">
          <w:rPr>
            <w:rStyle w:val="Hyperlink"/>
            <w:noProof/>
          </w:rPr>
          <w:t>2.2.3</w:t>
        </w:r>
        <w:r w:rsidR="00524C88">
          <w:rPr>
            <w:rFonts w:eastAsiaTheme="minorEastAsia" w:cstheme="minorBidi"/>
            <w:i w:val="0"/>
            <w:iCs w:val="0"/>
            <w:noProof/>
            <w:sz w:val="22"/>
            <w:szCs w:val="22"/>
            <w:lang w:eastAsia="en-GB" w:bidi="ar-SA"/>
          </w:rPr>
          <w:tab/>
        </w:r>
        <w:r w:rsidR="00524C88" w:rsidRPr="00ED083D">
          <w:rPr>
            <w:rStyle w:val="Hyperlink"/>
            <w:noProof/>
          </w:rPr>
          <w:t>Detection methodology</w:t>
        </w:r>
        <w:r w:rsidR="00524C88">
          <w:rPr>
            <w:noProof/>
            <w:webHidden/>
          </w:rPr>
          <w:tab/>
        </w:r>
        <w:r w:rsidR="00524C88">
          <w:rPr>
            <w:noProof/>
            <w:webHidden/>
          </w:rPr>
          <w:fldChar w:fldCharType="begin"/>
        </w:r>
        <w:r w:rsidR="00524C88">
          <w:rPr>
            <w:noProof/>
            <w:webHidden/>
          </w:rPr>
          <w:instrText xml:space="preserve"> PAGEREF _Toc490726033 \h </w:instrText>
        </w:r>
        <w:r w:rsidR="00524C88">
          <w:rPr>
            <w:noProof/>
            <w:webHidden/>
          </w:rPr>
        </w:r>
        <w:r w:rsidR="00524C88">
          <w:rPr>
            <w:noProof/>
            <w:webHidden/>
          </w:rPr>
          <w:fldChar w:fldCharType="separate"/>
        </w:r>
        <w:r>
          <w:rPr>
            <w:noProof/>
            <w:webHidden/>
          </w:rPr>
          <w:t>10</w:t>
        </w:r>
        <w:r w:rsidR="00524C88">
          <w:rPr>
            <w:noProof/>
            <w:webHidden/>
          </w:rPr>
          <w:fldChar w:fldCharType="end"/>
        </w:r>
      </w:hyperlink>
    </w:p>
    <w:p w14:paraId="6860E482" w14:textId="77777777" w:rsidR="00524C88" w:rsidRDefault="00516720">
      <w:pPr>
        <w:pStyle w:val="TOC2"/>
        <w:tabs>
          <w:tab w:val="left" w:pos="880"/>
          <w:tab w:val="right" w:leader="dot" w:pos="9060"/>
        </w:tabs>
        <w:rPr>
          <w:rFonts w:eastAsiaTheme="minorEastAsia" w:cstheme="minorBidi"/>
          <w:smallCaps w:val="0"/>
          <w:noProof/>
          <w:sz w:val="22"/>
          <w:szCs w:val="22"/>
          <w:lang w:eastAsia="en-GB" w:bidi="ar-SA"/>
        </w:rPr>
      </w:pPr>
      <w:hyperlink w:anchor="_Toc490726034" w:history="1">
        <w:r w:rsidR="00524C88" w:rsidRPr="00ED083D">
          <w:rPr>
            <w:rStyle w:val="Hyperlink"/>
            <w:noProof/>
          </w:rPr>
          <w:t>2.3</w:t>
        </w:r>
        <w:r w:rsidR="00524C88">
          <w:rPr>
            <w:rFonts w:eastAsiaTheme="minorEastAsia" w:cstheme="minorBidi"/>
            <w:smallCaps w:val="0"/>
            <w:noProof/>
            <w:sz w:val="22"/>
            <w:szCs w:val="22"/>
            <w:lang w:eastAsia="en-GB" w:bidi="ar-SA"/>
          </w:rPr>
          <w:tab/>
        </w:r>
        <w:r w:rsidR="00524C88" w:rsidRPr="00ED083D">
          <w:rPr>
            <w:rStyle w:val="Hyperlink"/>
            <w:noProof/>
          </w:rPr>
          <w:t>Risk communication</w:t>
        </w:r>
        <w:r w:rsidR="00524C88">
          <w:rPr>
            <w:noProof/>
            <w:webHidden/>
          </w:rPr>
          <w:tab/>
        </w:r>
        <w:r w:rsidR="00524C88">
          <w:rPr>
            <w:noProof/>
            <w:webHidden/>
          </w:rPr>
          <w:fldChar w:fldCharType="begin"/>
        </w:r>
        <w:r w:rsidR="00524C88">
          <w:rPr>
            <w:noProof/>
            <w:webHidden/>
          </w:rPr>
          <w:instrText xml:space="preserve"> PAGEREF _Toc490726034 \h </w:instrText>
        </w:r>
        <w:r w:rsidR="00524C88">
          <w:rPr>
            <w:noProof/>
            <w:webHidden/>
          </w:rPr>
        </w:r>
        <w:r w:rsidR="00524C88">
          <w:rPr>
            <w:noProof/>
            <w:webHidden/>
          </w:rPr>
          <w:fldChar w:fldCharType="separate"/>
        </w:r>
        <w:r>
          <w:rPr>
            <w:noProof/>
            <w:webHidden/>
          </w:rPr>
          <w:t>10</w:t>
        </w:r>
        <w:r w:rsidR="00524C88">
          <w:rPr>
            <w:noProof/>
            <w:webHidden/>
          </w:rPr>
          <w:fldChar w:fldCharType="end"/>
        </w:r>
      </w:hyperlink>
    </w:p>
    <w:p w14:paraId="682B308E" w14:textId="77777777" w:rsidR="00524C88" w:rsidRDefault="00516720">
      <w:pPr>
        <w:pStyle w:val="TOC3"/>
        <w:tabs>
          <w:tab w:val="left" w:pos="1100"/>
          <w:tab w:val="right" w:leader="dot" w:pos="9060"/>
        </w:tabs>
        <w:rPr>
          <w:rFonts w:eastAsiaTheme="minorEastAsia" w:cstheme="minorBidi"/>
          <w:i w:val="0"/>
          <w:iCs w:val="0"/>
          <w:noProof/>
          <w:sz w:val="22"/>
          <w:szCs w:val="22"/>
          <w:lang w:eastAsia="en-GB" w:bidi="ar-SA"/>
        </w:rPr>
      </w:pPr>
      <w:hyperlink w:anchor="_Toc490726035" w:history="1">
        <w:r w:rsidR="00524C88" w:rsidRPr="00ED083D">
          <w:rPr>
            <w:rStyle w:val="Hyperlink"/>
            <w:noProof/>
          </w:rPr>
          <w:t>2.3.1</w:t>
        </w:r>
        <w:r w:rsidR="00524C88">
          <w:rPr>
            <w:rFonts w:eastAsiaTheme="minorEastAsia" w:cstheme="minorBidi"/>
            <w:i w:val="0"/>
            <w:iCs w:val="0"/>
            <w:noProof/>
            <w:sz w:val="22"/>
            <w:szCs w:val="22"/>
            <w:lang w:eastAsia="en-GB" w:bidi="ar-SA"/>
          </w:rPr>
          <w:tab/>
        </w:r>
        <w:r w:rsidR="00524C88" w:rsidRPr="00ED083D">
          <w:rPr>
            <w:rStyle w:val="Hyperlink"/>
            <w:noProof/>
          </w:rPr>
          <w:t>Consultation</w:t>
        </w:r>
        <w:r w:rsidR="00524C88">
          <w:rPr>
            <w:noProof/>
            <w:webHidden/>
          </w:rPr>
          <w:tab/>
        </w:r>
        <w:r w:rsidR="00524C88">
          <w:rPr>
            <w:noProof/>
            <w:webHidden/>
          </w:rPr>
          <w:fldChar w:fldCharType="begin"/>
        </w:r>
        <w:r w:rsidR="00524C88">
          <w:rPr>
            <w:noProof/>
            <w:webHidden/>
          </w:rPr>
          <w:instrText xml:space="preserve"> PAGEREF _Toc490726035 \h </w:instrText>
        </w:r>
        <w:r w:rsidR="00524C88">
          <w:rPr>
            <w:noProof/>
            <w:webHidden/>
          </w:rPr>
        </w:r>
        <w:r w:rsidR="00524C88">
          <w:rPr>
            <w:noProof/>
            <w:webHidden/>
          </w:rPr>
          <w:fldChar w:fldCharType="separate"/>
        </w:r>
        <w:r>
          <w:rPr>
            <w:noProof/>
            <w:webHidden/>
          </w:rPr>
          <w:t>10</w:t>
        </w:r>
        <w:r w:rsidR="00524C88">
          <w:rPr>
            <w:noProof/>
            <w:webHidden/>
          </w:rPr>
          <w:fldChar w:fldCharType="end"/>
        </w:r>
      </w:hyperlink>
    </w:p>
    <w:p w14:paraId="5BF2B5EA" w14:textId="77777777" w:rsidR="00524C88" w:rsidRDefault="00516720">
      <w:pPr>
        <w:pStyle w:val="TOC3"/>
        <w:tabs>
          <w:tab w:val="left" w:pos="1100"/>
          <w:tab w:val="right" w:leader="dot" w:pos="9060"/>
        </w:tabs>
        <w:rPr>
          <w:rFonts w:eastAsiaTheme="minorEastAsia" w:cstheme="minorBidi"/>
          <w:i w:val="0"/>
          <w:iCs w:val="0"/>
          <w:noProof/>
          <w:sz w:val="22"/>
          <w:szCs w:val="22"/>
          <w:lang w:eastAsia="en-GB" w:bidi="ar-SA"/>
        </w:rPr>
      </w:pPr>
      <w:hyperlink w:anchor="_Toc490726036" w:history="1">
        <w:r w:rsidR="00524C88" w:rsidRPr="00ED083D">
          <w:rPr>
            <w:rStyle w:val="Hyperlink"/>
            <w:noProof/>
          </w:rPr>
          <w:t>2.3.2</w:t>
        </w:r>
        <w:r w:rsidR="00524C88">
          <w:rPr>
            <w:rFonts w:eastAsiaTheme="minorEastAsia" w:cstheme="minorBidi"/>
            <w:i w:val="0"/>
            <w:iCs w:val="0"/>
            <w:noProof/>
            <w:sz w:val="22"/>
            <w:szCs w:val="22"/>
            <w:lang w:eastAsia="en-GB" w:bidi="ar-SA"/>
          </w:rPr>
          <w:tab/>
        </w:r>
        <w:r w:rsidR="00524C88" w:rsidRPr="00ED083D">
          <w:rPr>
            <w:rStyle w:val="Hyperlink"/>
            <w:noProof/>
          </w:rPr>
          <w:t>World Trade Organization (WTO)</w:t>
        </w:r>
        <w:r w:rsidR="00524C88">
          <w:rPr>
            <w:noProof/>
            <w:webHidden/>
          </w:rPr>
          <w:tab/>
        </w:r>
        <w:r w:rsidR="00524C88">
          <w:rPr>
            <w:noProof/>
            <w:webHidden/>
          </w:rPr>
          <w:fldChar w:fldCharType="begin"/>
        </w:r>
        <w:r w:rsidR="00524C88">
          <w:rPr>
            <w:noProof/>
            <w:webHidden/>
          </w:rPr>
          <w:instrText xml:space="preserve"> PAGEREF _Toc490726036 \h </w:instrText>
        </w:r>
        <w:r w:rsidR="00524C88">
          <w:rPr>
            <w:noProof/>
            <w:webHidden/>
          </w:rPr>
        </w:r>
        <w:r w:rsidR="00524C88">
          <w:rPr>
            <w:noProof/>
            <w:webHidden/>
          </w:rPr>
          <w:fldChar w:fldCharType="separate"/>
        </w:r>
        <w:r>
          <w:rPr>
            <w:noProof/>
            <w:webHidden/>
          </w:rPr>
          <w:t>11</w:t>
        </w:r>
        <w:r w:rsidR="00524C88">
          <w:rPr>
            <w:noProof/>
            <w:webHidden/>
          </w:rPr>
          <w:fldChar w:fldCharType="end"/>
        </w:r>
      </w:hyperlink>
    </w:p>
    <w:p w14:paraId="0939B54B" w14:textId="77777777" w:rsidR="00524C88" w:rsidRDefault="00516720">
      <w:pPr>
        <w:pStyle w:val="TOC2"/>
        <w:tabs>
          <w:tab w:val="left" w:pos="880"/>
          <w:tab w:val="right" w:leader="dot" w:pos="9060"/>
        </w:tabs>
        <w:rPr>
          <w:rFonts w:eastAsiaTheme="minorEastAsia" w:cstheme="minorBidi"/>
          <w:smallCaps w:val="0"/>
          <w:noProof/>
          <w:sz w:val="22"/>
          <w:szCs w:val="22"/>
          <w:lang w:eastAsia="en-GB" w:bidi="ar-SA"/>
        </w:rPr>
      </w:pPr>
      <w:hyperlink w:anchor="_Toc490726037" w:history="1">
        <w:r w:rsidR="00524C88" w:rsidRPr="00ED083D">
          <w:rPr>
            <w:rStyle w:val="Hyperlink"/>
            <w:noProof/>
          </w:rPr>
          <w:t>2.4</w:t>
        </w:r>
        <w:r w:rsidR="00524C88">
          <w:rPr>
            <w:rFonts w:eastAsiaTheme="minorEastAsia" w:cstheme="minorBidi"/>
            <w:smallCaps w:val="0"/>
            <w:noProof/>
            <w:sz w:val="22"/>
            <w:szCs w:val="22"/>
            <w:lang w:eastAsia="en-GB" w:bidi="ar-SA"/>
          </w:rPr>
          <w:tab/>
        </w:r>
        <w:r w:rsidR="00524C88" w:rsidRPr="00ED083D">
          <w:rPr>
            <w:rStyle w:val="Hyperlink"/>
            <w:noProof/>
          </w:rPr>
          <w:t>FSANZ Act assessment requirements</w:t>
        </w:r>
        <w:r w:rsidR="00524C88">
          <w:rPr>
            <w:noProof/>
            <w:webHidden/>
          </w:rPr>
          <w:tab/>
        </w:r>
        <w:r w:rsidR="00524C88">
          <w:rPr>
            <w:noProof/>
            <w:webHidden/>
          </w:rPr>
          <w:fldChar w:fldCharType="begin"/>
        </w:r>
        <w:r w:rsidR="00524C88">
          <w:rPr>
            <w:noProof/>
            <w:webHidden/>
          </w:rPr>
          <w:instrText xml:space="preserve"> PAGEREF _Toc490726037 \h </w:instrText>
        </w:r>
        <w:r w:rsidR="00524C88">
          <w:rPr>
            <w:noProof/>
            <w:webHidden/>
          </w:rPr>
        </w:r>
        <w:r w:rsidR="00524C88">
          <w:rPr>
            <w:noProof/>
            <w:webHidden/>
          </w:rPr>
          <w:fldChar w:fldCharType="separate"/>
        </w:r>
        <w:r>
          <w:rPr>
            <w:noProof/>
            <w:webHidden/>
          </w:rPr>
          <w:t>11</w:t>
        </w:r>
        <w:r w:rsidR="00524C88">
          <w:rPr>
            <w:noProof/>
            <w:webHidden/>
          </w:rPr>
          <w:fldChar w:fldCharType="end"/>
        </w:r>
      </w:hyperlink>
    </w:p>
    <w:p w14:paraId="05ECA536" w14:textId="77777777" w:rsidR="00524C88" w:rsidRDefault="00516720">
      <w:pPr>
        <w:pStyle w:val="TOC3"/>
        <w:tabs>
          <w:tab w:val="left" w:pos="1100"/>
          <w:tab w:val="right" w:leader="dot" w:pos="9060"/>
        </w:tabs>
        <w:rPr>
          <w:rFonts w:eastAsiaTheme="minorEastAsia" w:cstheme="minorBidi"/>
          <w:i w:val="0"/>
          <w:iCs w:val="0"/>
          <w:noProof/>
          <w:sz w:val="22"/>
          <w:szCs w:val="22"/>
          <w:lang w:eastAsia="en-GB" w:bidi="ar-SA"/>
        </w:rPr>
      </w:pPr>
      <w:hyperlink w:anchor="_Toc490726038" w:history="1">
        <w:r w:rsidR="00524C88" w:rsidRPr="00ED083D">
          <w:rPr>
            <w:rStyle w:val="Hyperlink"/>
            <w:noProof/>
          </w:rPr>
          <w:t>2.4.1</w:t>
        </w:r>
        <w:r w:rsidR="00524C88">
          <w:rPr>
            <w:rFonts w:eastAsiaTheme="minorEastAsia" w:cstheme="minorBidi"/>
            <w:i w:val="0"/>
            <w:iCs w:val="0"/>
            <w:noProof/>
            <w:sz w:val="22"/>
            <w:szCs w:val="22"/>
            <w:lang w:eastAsia="en-GB" w:bidi="ar-SA"/>
          </w:rPr>
          <w:tab/>
        </w:r>
        <w:r w:rsidR="00524C88" w:rsidRPr="00ED083D">
          <w:rPr>
            <w:rStyle w:val="Hyperlink"/>
            <w:noProof/>
          </w:rPr>
          <w:t>Section 29</w:t>
        </w:r>
        <w:r w:rsidR="00524C88">
          <w:rPr>
            <w:noProof/>
            <w:webHidden/>
          </w:rPr>
          <w:tab/>
        </w:r>
        <w:r w:rsidR="00524C88">
          <w:rPr>
            <w:noProof/>
            <w:webHidden/>
          </w:rPr>
          <w:fldChar w:fldCharType="begin"/>
        </w:r>
        <w:r w:rsidR="00524C88">
          <w:rPr>
            <w:noProof/>
            <w:webHidden/>
          </w:rPr>
          <w:instrText xml:space="preserve"> PAGEREF _Toc490726038 \h </w:instrText>
        </w:r>
        <w:r w:rsidR="00524C88">
          <w:rPr>
            <w:noProof/>
            <w:webHidden/>
          </w:rPr>
        </w:r>
        <w:r w:rsidR="00524C88">
          <w:rPr>
            <w:noProof/>
            <w:webHidden/>
          </w:rPr>
          <w:fldChar w:fldCharType="separate"/>
        </w:r>
        <w:r>
          <w:rPr>
            <w:noProof/>
            <w:webHidden/>
          </w:rPr>
          <w:t>11</w:t>
        </w:r>
        <w:r w:rsidR="00524C88">
          <w:rPr>
            <w:noProof/>
            <w:webHidden/>
          </w:rPr>
          <w:fldChar w:fldCharType="end"/>
        </w:r>
      </w:hyperlink>
    </w:p>
    <w:p w14:paraId="628ACD79" w14:textId="77777777" w:rsidR="00524C88" w:rsidRDefault="00516720">
      <w:pPr>
        <w:pStyle w:val="TOC3"/>
        <w:tabs>
          <w:tab w:val="left" w:pos="1320"/>
          <w:tab w:val="right" w:leader="dot" w:pos="9060"/>
        </w:tabs>
        <w:rPr>
          <w:rFonts w:eastAsiaTheme="minorEastAsia" w:cstheme="minorBidi"/>
          <w:i w:val="0"/>
          <w:iCs w:val="0"/>
          <w:noProof/>
          <w:sz w:val="22"/>
          <w:szCs w:val="22"/>
          <w:lang w:eastAsia="en-GB" w:bidi="ar-SA"/>
        </w:rPr>
      </w:pPr>
      <w:hyperlink w:anchor="_Toc490726039" w:history="1">
        <w:r w:rsidR="00524C88" w:rsidRPr="00ED083D">
          <w:rPr>
            <w:rStyle w:val="Hyperlink"/>
            <w:noProof/>
          </w:rPr>
          <w:t>2.4.2.</w:t>
        </w:r>
        <w:r w:rsidR="00524C88">
          <w:rPr>
            <w:rFonts w:eastAsiaTheme="minorEastAsia" w:cstheme="minorBidi"/>
            <w:i w:val="0"/>
            <w:iCs w:val="0"/>
            <w:noProof/>
            <w:sz w:val="22"/>
            <w:szCs w:val="22"/>
            <w:lang w:eastAsia="en-GB" w:bidi="ar-SA"/>
          </w:rPr>
          <w:tab/>
        </w:r>
        <w:r w:rsidR="00524C88" w:rsidRPr="00ED083D">
          <w:rPr>
            <w:rStyle w:val="Hyperlink"/>
            <w:noProof/>
          </w:rPr>
          <w:t>Subsection 18(1)</w:t>
        </w:r>
        <w:r w:rsidR="00524C88">
          <w:rPr>
            <w:noProof/>
            <w:webHidden/>
          </w:rPr>
          <w:tab/>
        </w:r>
        <w:r w:rsidR="00524C88">
          <w:rPr>
            <w:noProof/>
            <w:webHidden/>
          </w:rPr>
          <w:fldChar w:fldCharType="begin"/>
        </w:r>
        <w:r w:rsidR="00524C88">
          <w:rPr>
            <w:noProof/>
            <w:webHidden/>
          </w:rPr>
          <w:instrText xml:space="preserve"> PAGEREF _Toc490726039 \h </w:instrText>
        </w:r>
        <w:r w:rsidR="00524C88">
          <w:rPr>
            <w:noProof/>
            <w:webHidden/>
          </w:rPr>
        </w:r>
        <w:r w:rsidR="00524C88">
          <w:rPr>
            <w:noProof/>
            <w:webHidden/>
          </w:rPr>
          <w:fldChar w:fldCharType="separate"/>
        </w:r>
        <w:r>
          <w:rPr>
            <w:noProof/>
            <w:webHidden/>
          </w:rPr>
          <w:t>13</w:t>
        </w:r>
        <w:r w:rsidR="00524C88">
          <w:rPr>
            <w:noProof/>
            <w:webHidden/>
          </w:rPr>
          <w:fldChar w:fldCharType="end"/>
        </w:r>
      </w:hyperlink>
    </w:p>
    <w:p w14:paraId="01F99864" w14:textId="77777777" w:rsidR="00524C88" w:rsidRDefault="00516720">
      <w:pPr>
        <w:pStyle w:val="TOC3"/>
        <w:tabs>
          <w:tab w:val="left" w:pos="1100"/>
          <w:tab w:val="right" w:leader="dot" w:pos="9060"/>
        </w:tabs>
        <w:rPr>
          <w:rFonts w:eastAsiaTheme="minorEastAsia" w:cstheme="minorBidi"/>
          <w:i w:val="0"/>
          <w:iCs w:val="0"/>
          <w:noProof/>
          <w:sz w:val="22"/>
          <w:szCs w:val="22"/>
          <w:lang w:eastAsia="en-GB" w:bidi="ar-SA"/>
        </w:rPr>
      </w:pPr>
      <w:hyperlink w:anchor="_Toc490726040" w:history="1">
        <w:r w:rsidR="00524C88" w:rsidRPr="00ED083D">
          <w:rPr>
            <w:rStyle w:val="Hyperlink"/>
            <w:noProof/>
          </w:rPr>
          <w:t>2.4.3</w:t>
        </w:r>
        <w:r w:rsidR="00524C88">
          <w:rPr>
            <w:rFonts w:eastAsiaTheme="minorEastAsia" w:cstheme="minorBidi"/>
            <w:i w:val="0"/>
            <w:iCs w:val="0"/>
            <w:noProof/>
            <w:sz w:val="22"/>
            <w:szCs w:val="22"/>
            <w:lang w:eastAsia="en-GB" w:bidi="ar-SA"/>
          </w:rPr>
          <w:tab/>
        </w:r>
        <w:r w:rsidR="00524C88" w:rsidRPr="00ED083D">
          <w:rPr>
            <w:rStyle w:val="Hyperlink"/>
            <w:noProof/>
          </w:rPr>
          <w:t>Subsection 18(2) considerations</w:t>
        </w:r>
        <w:r w:rsidR="00524C88">
          <w:rPr>
            <w:noProof/>
            <w:webHidden/>
          </w:rPr>
          <w:tab/>
        </w:r>
        <w:r w:rsidR="00524C88">
          <w:rPr>
            <w:noProof/>
            <w:webHidden/>
          </w:rPr>
          <w:fldChar w:fldCharType="begin"/>
        </w:r>
        <w:r w:rsidR="00524C88">
          <w:rPr>
            <w:noProof/>
            <w:webHidden/>
          </w:rPr>
          <w:instrText xml:space="preserve"> PAGEREF _Toc490726040 \h </w:instrText>
        </w:r>
        <w:r w:rsidR="00524C88">
          <w:rPr>
            <w:noProof/>
            <w:webHidden/>
          </w:rPr>
        </w:r>
        <w:r w:rsidR="00524C88">
          <w:rPr>
            <w:noProof/>
            <w:webHidden/>
          </w:rPr>
          <w:fldChar w:fldCharType="separate"/>
        </w:r>
        <w:r>
          <w:rPr>
            <w:noProof/>
            <w:webHidden/>
          </w:rPr>
          <w:t>14</w:t>
        </w:r>
        <w:r w:rsidR="00524C88">
          <w:rPr>
            <w:noProof/>
            <w:webHidden/>
          </w:rPr>
          <w:fldChar w:fldCharType="end"/>
        </w:r>
      </w:hyperlink>
    </w:p>
    <w:p w14:paraId="5F57EA5A" w14:textId="77777777" w:rsidR="00524C88" w:rsidRDefault="005167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0726041" w:history="1">
        <w:r w:rsidR="00524C88" w:rsidRPr="00ED083D">
          <w:rPr>
            <w:rStyle w:val="Hyperlink"/>
            <w:noProof/>
          </w:rPr>
          <w:t>3</w:t>
        </w:r>
        <w:r w:rsidR="00524C88">
          <w:rPr>
            <w:rFonts w:eastAsiaTheme="minorEastAsia" w:cstheme="minorBidi"/>
            <w:b w:val="0"/>
            <w:bCs w:val="0"/>
            <w:caps w:val="0"/>
            <w:noProof/>
            <w:sz w:val="22"/>
            <w:szCs w:val="22"/>
            <w:lang w:eastAsia="en-GB" w:bidi="ar-SA"/>
          </w:rPr>
          <w:tab/>
        </w:r>
        <w:r w:rsidR="00524C88" w:rsidRPr="00ED083D">
          <w:rPr>
            <w:rStyle w:val="Hyperlink"/>
            <w:noProof/>
          </w:rPr>
          <w:t>Draft variation</w:t>
        </w:r>
        <w:r w:rsidR="00524C88">
          <w:rPr>
            <w:noProof/>
            <w:webHidden/>
          </w:rPr>
          <w:tab/>
        </w:r>
        <w:r w:rsidR="00524C88">
          <w:rPr>
            <w:noProof/>
            <w:webHidden/>
          </w:rPr>
          <w:fldChar w:fldCharType="begin"/>
        </w:r>
        <w:r w:rsidR="00524C88">
          <w:rPr>
            <w:noProof/>
            <w:webHidden/>
          </w:rPr>
          <w:instrText xml:space="preserve"> PAGEREF _Toc490726041 \h </w:instrText>
        </w:r>
        <w:r w:rsidR="00524C88">
          <w:rPr>
            <w:noProof/>
            <w:webHidden/>
          </w:rPr>
        </w:r>
        <w:r w:rsidR="00524C88">
          <w:rPr>
            <w:noProof/>
            <w:webHidden/>
          </w:rPr>
          <w:fldChar w:fldCharType="separate"/>
        </w:r>
        <w:r>
          <w:rPr>
            <w:noProof/>
            <w:webHidden/>
          </w:rPr>
          <w:t>15</w:t>
        </w:r>
        <w:r w:rsidR="00524C88">
          <w:rPr>
            <w:noProof/>
            <w:webHidden/>
          </w:rPr>
          <w:fldChar w:fldCharType="end"/>
        </w:r>
      </w:hyperlink>
    </w:p>
    <w:p w14:paraId="4AC6571D" w14:textId="77777777" w:rsidR="00524C88" w:rsidRDefault="005167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0726042" w:history="1">
        <w:r w:rsidR="00524C88" w:rsidRPr="00ED083D">
          <w:rPr>
            <w:rStyle w:val="Hyperlink"/>
            <w:noProof/>
          </w:rPr>
          <w:t>4</w:t>
        </w:r>
        <w:r w:rsidR="00524C88">
          <w:rPr>
            <w:rFonts w:eastAsiaTheme="minorEastAsia" w:cstheme="minorBidi"/>
            <w:b w:val="0"/>
            <w:bCs w:val="0"/>
            <w:caps w:val="0"/>
            <w:noProof/>
            <w:sz w:val="22"/>
            <w:szCs w:val="22"/>
            <w:lang w:eastAsia="en-GB" w:bidi="ar-SA"/>
          </w:rPr>
          <w:tab/>
        </w:r>
        <w:r w:rsidR="00524C88" w:rsidRPr="00ED083D">
          <w:rPr>
            <w:rStyle w:val="Hyperlink"/>
            <w:noProof/>
          </w:rPr>
          <w:t>References</w:t>
        </w:r>
        <w:r w:rsidR="00524C88">
          <w:rPr>
            <w:noProof/>
            <w:webHidden/>
          </w:rPr>
          <w:tab/>
        </w:r>
        <w:r w:rsidR="00524C88">
          <w:rPr>
            <w:noProof/>
            <w:webHidden/>
          </w:rPr>
          <w:fldChar w:fldCharType="begin"/>
        </w:r>
        <w:r w:rsidR="00524C88">
          <w:rPr>
            <w:noProof/>
            <w:webHidden/>
          </w:rPr>
          <w:instrText xml:space="preserve"> PAGEREF _Toc490726042 \h </w:instrText>
        </w:r>
        <w:r w:rsidR="00524C88">
          <w:rPr>
            <w:noProof/>
            <w:webHidden/>
          </w:rPr>
        </w:r>
        <w:r w:rsidR="00524C88">
          <w:rPr>
            <w:noProof/>
            <w:webHidden/>
          </w:rPr>
          <w:fldChar w:fldCharType="separate"/>
        </w:r>
        <w:r>
          <w:rPr>
            <w:noProof/>
            <w:webHidden/>
          </w:rPr>
          <w:t>15</w:t>
        </w:r>
        <w:r w:rsidR="00524C88">
          <w:rPr>
            <w:noProof/>
            <w:webHidden/>
          </w:rPr>
          <w:fldChar w:fldCharType="end"/>
        </w:r>
      </w:hyperlink>
    </w:p>
    <w:p w14:paraId="3608CAE7" w14:textId="77777777" w:rsidR="00524C88" w:rsidRDefault="00516720">
      <w:pPr>
        <w:pStyle w:val="TOC2"/>
        <w:tabs>
          <w:tab w:val="right" w:leader="dot" w:pos="9060"/>
        </w:tabs>
        <w:rPr>
          <w:rFonts w:eastAsiaTheme="minorEastAsia" w:cstheme="minorBidi"/>
          <w:smallCaps w:val="0"/>
          <w:noProof/>
          <w:sz w:val="22"/>
          <w:szCs w:val="22"/>
          <w:lang w:eastAsia="en-GB" w:bidi="ar-SA"/>
        </w:rPr>
      </w:pPr>
      <w:hyperlink w:anchor="_Toc490726043" w:history="1">
        <w:r w:rsidR="00524C88" w:rsidRPr="00ED083D">
          <w:rPr>
            <w:rStyle w:val="Hyperlink"/>
            <w:noProof/>
          </w:rPr>
          <w:t xml:space="preserve">Attachment A – Draft variation to the </w:t>
        </w:r>
        <w:r w:rsidR="00524C88" w:rsidRPr="00ED083D">
          <w:rPr>
            <w:rStyle w:val="Hyperlink"/>
            <w:i/>
            <w:noProof/>
          </w:rPr>
          <w:t>Australia New Zealand Food Standards Code</w:t>
        </w:r>
        <w:r w:rsidR="00524C88">
          <w:rPr>
            <w:noProof/>
            <w:webHidden/>
          </w:rPr>
          <w:tab/>
        </w:r>
        <w:r w:rsidR="00524C88">
          <w:rPr>
            <w:noProof/>
            <w:webHidden/>
          </w:rPr>
          <w:fldChar w:fldCharType="begin"/>
        </w:r>
        <w:r w:rsidR="00524C88">
          <w:rPr>
            <w:noProof/>
            <w:webHidden/>
          </w:rPr>
          <w:instrText xml:space="preserve"> PAGEREF _Toc490726043 \h </w:instrText>
        </w:r>
        <w:r w:rsidR="00524C88">
          <w:rPr>
            <w:noProof/>
            <w:webHidden/>
          </w:rPr>
        </w:r>
        <w:r w:rsidR="00524C88">
          <w:rPr>
            <w:noProof/>
            <w:webHidden/>
          </w:rPr>
          <w:fldChar w:fldCharType="separate"/>
        </w:r>
        <w:r>
          <w:rPr>
            <w:noProof/>
            <w:webHidden/>
          </w:rPr>
          <w:t>16</w:t>
        </w:r>
        <w:r w:rsidR="00524C88">
          <w:rPr>
            <w:noProof/>
            <w:webHidden/>
          </w:rPr>
          <w:fldChar w:fldCharType="end"/>
        </w:r>
      </w:hyperlink>
    </w:p>
    <w:p w14:paraId="0A5CD1D1" w14:textId="77777777" w:rsidR="00524C88" w:rsidRDefault="00516720">
      <w:pPr>
        <w:pStyle w:val="TOC2"/>
        <w:tabs>
          <w:tab w:val="right" w:leader="dot" w:pos="9060"/>
        </w:tabs>
        <w:rPr>
          <w:rFonts w:eastAsiaTheme="minorEastAsia" w:cstheme="minorBidi"/>
          <w:smallCaps w:val="0"/>
          <w:noProof/>
          <w:sz w:val="22"/>
          <w:szCs w:val="22"/>
          <w:lang w:eastAsia="en-GB" w:bidi="ar-SA"/>
        </w:rPr>
      </w:pPr>
      <w:hyperlink w:anchor="_Toc490726044" w:history="1">
        <w:r w:rsidR="00524C88" w:rsidRPr="00ED083D">
          <w:rPr>
            <w:rStyle w:val="Hyperlink"/>
            <w:noProof/>
          </w:rPr>
          <w:t>Draft Explanatory Statement</w:t>
        </w:r>
        <w:r w:rsidR="00524C88">
          <w:rPr>
            <w:noProof/>
            <w:webHidden/>
          </w:rPr>
          <w:tab/>
        </w:r>
        <w:r w:rsidR="00524C88">
          <w:rPr>
            <w:noProof/>
            <w:webHidden/>
          </w:rPr>
          <w:fldChar w:fldCharType="begin"/>
        </w:r>
        <w:r w:rsidR="00524C88">
          <w:rPr>
            <w:noProof/>
            <w:webHidden/>
          </w:rPr>
          <w:instrText xml:space="preserve"> PAGEREF _Toc490726044 \h </w:instrText>
        </w:r>
        <w:r w:rsidR="00524C88">
          <w:rPr>
            <w:noProof/>
            <w:webHidden/>
          </w:rPr>
        </w:r>
        <w:r w:rsidR="00524C88">
          <w:rPr>
            <w:noProof/>
            <w:webHidden/>
          </w:rPr>
          <w:fldChar w:fldCharType="separate"/>
        </w:r>
        <w:r>
          <w:rPr>
            <w:noProof/>
            <w:webHidden/>
          </w:rPr>
          <w:t>18</w:t>
        </w:r>
        <w:r w:rsidR="00524C88">
          <w:rPr>
            <w:noProof/>
            <w:webHidden/>
          </w:rPr>
          <w:fldChar w:fldCharType="end"/>
        </w:r>
      </w:hyperlink>
    </w:p>
    <w:p w14:paraId="14725408" w14:textId="77777777" w:rsidR="00051ED9" w:rsidRPr="0059227F" w:rsidRDefault="00051ED9" w:rsidP="00051ED9">
      <w:pPr>
        <w:rPr>
          <w:rFonts w:cs="Arial"/>
        </w:rPr>
      </w:pPr>
      <w:r w:rsidRPr="002C4A91">
        <w:rPr>
          <w:rFonts w:cs="Arial"/>
          <w:sz w:val="20"/>
          <w:szCs w:val="20"/>
        </w:rPr>
        <w:fldChar w:fldCharType="end"/>
      </w:r>
    </w:p>
    <w:p w14:paraId="010E783F" w14:textId="77777777" w:rsidR="00D73931" w:rsidRPr="00E203C2" w:rsidRDefault="00D73931" w:rsidP="00051ED9"/>
    <w:p w14:paraId="2327CB5A" w14:textId="77777777" w:rsidR="0037520F" w:rsidRPr="00A83B1D" w:rsidRDefault="0037520F" w:rsidP="0037520F">
      <w:pPr>
        <w:rPr>
          <w:b/>
          <w:color w:val="000000" w:themeColor="text1"/>
          <w:szCs w:val="22"/>
        </w:rPr>
      </w:pPr>
      <w:r w:rsidRPr="00A83B1D">
        <w:rPr>
          <w:b/>
          <w:color w:val="000000" w:themeColor="text1"/>
          <w:szCs w:val="22"/>
        </w:rPr>
        <w:t>Supporting documents</w:t>
      </w:r>
    </w:p>
    <w:p w14:paraId="48B0F398" w14:textId="77777777" w:rsidR="0037520F" w:rsidRPr="00A83B1D" w:rsidRDefault="0037520F" w:rsidP="0037520F">
      <w:pPr>
        <w:rPr>
          <w:color w:val="000000" w:themeColor="text1"/>
          <w:szCs w:val="22"/>
        </w:rPr>
      </w:pPr>
    </w:p>
    <w:p w14:paraId="477DE087" w14:textId="77777777" w:rsidR="0037520F" w:rsidRPr="00A83B1D" w:rsidRDefault="0037520F" w:rsidP="0037520F">
      <w:pPr>
        <w:rPr>
          <w:color w:val="000000" w:themeColor="text1"/>
          <w:szCs w:val="22"/>
        </w:rPr>
      </w:pPr>
      <w:r w:rsidRPr="0089264A">
        <w:rPr>
          <w:szCs w:val="22"/>
        </w:rPr>
        <w:t xml:space="preserve">The </w:t>
      </w:r>
      <w:hyperlink r:id="rId20" w:history="1">
        <w:r w:rsidRPr="00A83B1D">
          <w:rPr>
            <w:rStyle w:val="Hyperlink"/>
            <w:szCs w:val="22"/>
          </w:rPr>
          <w:t>following documents</w:t>
        </w:r>
      </w:hyperlink>
      <w:r w:rsidR="00820535" w:rsidRPr="00A83B1D">
        <w:rPr>
          <w:rStyle w:val="FootnoteReference"/>
          <w:color w:val="000000" w:themeColor="text1"/>
          <w:szCs w:val="22"/>
        </w:rPr>
        <w:footnoteReference w:id="2"/>
      </w:r>
      <w:r w:rsidRPr="00A83B1D">
        <w:rPr>
          <w:color w:val="000000" w:themeColor="text1"/>
          <w:szCs w:val="22"/>
        </w:rPr>
        <w:t xml:space="preserve"> </w:t>
      </w:r>
      <w:r w:rsidR="00681754" w:rsidRPr="00A83B1D">
        <w:rPr>
          <w:color w:val="000000" w:themeColor="text1"/>
          <w:szCs w:val="22"/>
        </w:rPr>
        <w:t xml:space="preserve">which informed the assessment of this </w:t>
      </w:r>
      <w:r w:rsidR="00A83B1D" w:rsidRPr="00A83B1D">
        <w:rPr>
          <w:color w:val="000000" w:themeColor="text1"/>
          <w:szCs w:val="22"/>
        </w:rPr>
        <w:t>Application</w:t>
      </w:r>
      <w:r w:rsidRPr="00A83B1D">
        <w:rPr>
          <w:color w:val="000000" w:themeColor="text1"/>
          <w:szCs w:val="22"/>
        </w:rPr>
        <w:t xml:space="preserve"> are available on the FSANZ website</w:t>
      </w:r>
      <w:r w:rsidR="00820535" w:rsidRPr="00A83B1D">
        <w:rPr>
          <w:color w:val="000000" w:themeColor="text1"/>
          <w:szCs w:val="22"/>
        </w:rPr>
        <w:t>:</w:t>
      </w:r>
    </w:p>
    <w:p w14:paraId="431B7628" w14:textId="77777777" w:rsidR="0089264A" w:rsidRPr="00A83B1D" w:rsidRDefault="0089264A" w:rsidP="0089264A">
      <w:pPr>
        <w:rPr>
          <w:color w:val="000000" w:themeColor="text1"/>
          <w:szCs w:val="22"/>
        </w:rPr>
      </w:pPr>
    </w:p>
    <w:p w14:paraId="0F90B194" w14:textId="77777777" w:rsidR="00A83B1D" w:rsidRPr="00A83B1D" w:rsidRDefault="00A83B1D" w:rsidP="00A83B1D">
      <w:pPr>
        <w:ind w:left="1134" w:hanging="1134"/>
        <w:rPr>
          <w:color w:val="000000" w:themeColor="text1"/>
        </w:rPr>
      </w:pPr>
      <w:r w:rsidRPr="00A83B1D">
        <w:rPr>
          <w:color w:val="000000" w:themeColor="text1"/>
        </w:rPr>
        <w:t>SD1</w:t>
      </w:r>
      <w:r w:rsidRPr="00A83B1D">
        <w:rPr>
          <w:color w:val="000000" w:themeColor="text1"/>
        </w:rPr>
        <w:tab/>
        <w:t>Safety Assessment Report</w:t>
      </w:r>
    </w:p>
    <w:p w14:paraId="3CF93476" w14:textId="6C137F2A" w:rsidR="00A83B1D" w:rsidRPr="00A83B1D" w:rsidRDefault="00647936" w:rsidP="00A83B1D">
      <w:pPr>
        <w:ind w:left="1134" w:hanging="1134"/>
        <w:rPr>
          <w:color w:val="000000" w:themeColor="text1"/>
        </w:rPr>
      </w:pPr>
      <w:r>
        <w:rPr>
          <w:color w:val="000000" w:themeColor="text1"/>
        </w:rPr>
        <w:t>SD2</w:t>
      </w:r>
      <w:r>
        <w:rPr>
          <w:color w:val="000000" w:themeColor="text1"/>
        </w:rPr>
        <w:tab/>
        <w:t>Nutrition Risk</w:t>
      </w:r>
      <w:r w:rsidR="00A83B1D" w:rsidRPr="00A83B1D">
        <w:rPr>
          <w:color w:val="000000" w:themeColor="text1"/>
        </w:rPr>
        <w:t xml:space="preserve"> Assessment Report</w:t>
      </w:r>
    </w:p>
    <w:p w14:paraId="3F5E6776" w14:textId="77777777" w:rsidR="00051ED9" w:rsidRPr="00A83B1D" w:rsidRDefault="00562917" w:rsidP="00772BDC">
      <w:pPr>
        <w:rPr>
          <w:color w:val="000000" w:themeColor="text1"/>
        </w:rPr>
      </w:pPr>
      <w:r w:rsidRPr="00A83B1D">
        <w:rPr>
          <w:color w:val="000000" w:themeColor="text1"/>
        </w:rPr>
        <w:br w:type="page"/>
      </w:r>
    </w:p>
    <w:p w14:paraId="23B3F67B" w14:textId="77777777" w:rsidR="00E063C6" w:rsidRDefault="00F33BB8" w:rsidP="000A5DF8">
      <w:pPr>
        <w:pStyle w:val="Heading1"/>
      </w:pPr>
      <w:bookmarkStart w:id="0" w:name="_Toc286391001"/>
      <w:bookmarkStart w:id="1" w:name="_Toc300933414"/>
      <w:bookmarkStart w:id="2" w:name="_Toc490726021"/>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14:paraId="4A0393A4" w14:textId="51E01720" w:rsidR="00A83B1D" w:rsidRDefault="00A83B1D" w:rsidP="00A83B1D">
      <w:pPr>
        <w:rPr>
          <w:color w:val="000000" w:themeColor="text1"/>
          <w:lang w:val="en-AU"/>
        </w:rPr>
      </w:pPr>
      <w:bookmarkStart w:id="8" w:name="_Toc286391003"/>
      <w:r w:rsidRPr="006E7F3B">
        <w:rPr>
          <w:color w:val="000000" w:themeColor="text1"/>
          <w:szCs w:val="22"/>
        </w:rPr>
        <w:t>Food Standards Australia New Zealand (FSANZ) received an Applicatio</w:t>
      </w:r>
      <w:r>
        <w:rPr>
          <w:color w:val="000000" w:themeColor="text1"/>
          <w:szCs w:val="22"/>
        </w:rPr>
        <w:t xml:space="preserve">n from </w:t>
      </w:r>
      <w:proofErr w:type="spellStart"/>
      <w:r>
        <w:rPr>
          <w:color w:val="000000" w:themeColor="text1"/>
          <w:szCs w:val="22"/>
        </w:rPr>
        <w:t>Nuseed</w:t>
      </w:r>
      <w:proofErr w:type="spellEnd"/>
      <w:r>
        <w:rPr>
          <w:color w:val="000000" w:themeColor="text1"/>
          <w:szCs w:val="22"/>
        </w:rPr>
        <w:t xml:space="preserve"> Pty Ltd on 10 February 2017</w:t>
      </w:r>
      <w:r w:rsidRPr="006E7F3B">
        <w:rPr>
          <w:color w:val="000000" w:themeColor="text1"/>
          <w:szCs w:val="22"/>
        </w:rPr>
        <w:t xml:space="preserve">. The Applicant requested a variation to Schedule 26 in the </w:t>
      </w:r>
      <w:r w:rsidRPr="006E7F3B">
        <w:rPr>
          <w:i/>
          <w:color w:val="000000" w:themeColor="text1"/>
          <w:szCs w:val="22"/>
        </w:rPr>
        <w:t>Australia New Zealand Food Standards Code</w:t>
      </w:r>
      <w:r w:rsidRPr="006E7F3B">
        <w:rPr>
          <w:color w:val="000000" w:themeColor="text1"/>
          <w:szCs w:val="22"/>
        </w:rPr>
        <w:t xml:space="preserve"> (the Code) to include food from a new </w:t>
      </w:r>
      <w:r>
        <w:rPr>
          <w:color w:val="000000" w:themeColor="text1"/>
          <w:szCs w:val="22"/>
        </w:rPr>
        <w:t>genetically modified (GM) canola</w:t>
      </w:r>
      <w:r w:rsidRPr="006E7F3B">
        <w:rPr>
          <w:color w:val="000000" w:themeColor="text1"/>
          <w:szCs w:val="22"/>
        </w:rPr>
        <w:t xml:space="preserve"> (</w:t>
      </w:r>
      <w:r>
        <w:rPr>
          <w:i/>
          <w:color w:val="000000" w:themeColor="text1"/>
          <w:szCs w:val="22"/>
        </w:rPr>
        <w:t xml:space="preserve">Brassica </w:t>
      </w:r>
      <w:proofErr w:type="spellStart"/>
      <w:r>
        <w:rPr>
          <w:i/>
          <w:color w:val="000000" w:themeColor="text1"/>
          <w:szCs w:val="22"/>
        </w:rPr>
        <w:t>napus</w:t>
      </w:r>
      <w:proofErr w:type="spellEnd"/>
      <w:r>
        <w:rPr>
          <w:color w:val="000000" w:themeColor="text1"/>
          <w:szCs w:val="22"/>
        </w:rPr>
        <w:t>) line, NS-B50027-4</w:t>
      </w:r>
      <w:r w:rsidR="00CC3A23">
        <w:rPr>
          <w:color w:val="000000" w:themeColor="text1"/>
          <w:szCs w:val="22"/>
        </w:rPr>
        <w:t xml:space="preserve"> (henceforth referred to as DHA canola)</w:t>
      </w:r>
      <w:r>
        <w:rPr>
          <w:color w:val="000000" w:themeColor="text1"/>
          <w:szCs w:val="22"/>
        </w:rPr>
        <w:t xml:space="preserve">. </w:t>
      </w:r>
      <w:r>
        <w:rPr>
          <w:color w:val="000000" w:themeColor="text1"/>
        </w:rPr>
        <w:t>This canola</w:t>
      </w:r>
      <w:r w:rsidRPr="00C022D7">
        <w:rPr>
          <w:color w:val="000000" w:themeColor="text1"/>
        </w:rPr>
        <w:t xml:space="preserve"> line has been genetically modified </w:t>
      </w:r>
      <w:r w:rsidR="001D128A">
        <w:rPr>
          <w:color w:val="000000" w:themeColor="text1"/>
        </w:rPr>
        <w:t xml:space="preserve">to produce </w:t>
      </w:r>
      <w:r w:rsidR="00E41027" w:rsidRPr="00E41027">
        <w:rPr>
          <w:color w:val="000000" w:themeColor="text1"/>
          <w:szCs w:val="22"/>
        </w:rPr>
        <w:t xml:space="preserve">omega-3 </w:t>
      </w:r>
      <w:r>
        <w:rPr>
          <w:color w:val="000000" w:themeColor="text1"/>
        </w:rPr>
        <w:t>long chain fatty acids, particularly docosahexaenoic acid, in the seed.</w:t>
      </w:r>
    </w:p>
    <w:p w14:paraId="0643D4F2" w14:textId="77777777" w:rsidR="00A83B1D" w:rsidRPr="002933AF" w:rsidRDefault="00A83B1D" w:rsidP="00A83B1D">
      <w:pPr>
        <w:rPr>
          <w:color w:val="000000" w:themeColor="text1"/>
          <w:lang w:bidi="ar-SA"/>
        </w:rPr>
      </w:pPr>
    </w:p>
    <w:p w14:paraId="734CFDA3" w14:textId="77777777" w:rsidR="00A83B1D" w:rsidRPr="002933AF" w:rsidRDefault="00A83B1D" w:rsidP="00A83B1D">
      <w:pPr>
        <w:rPr>
          <w:color w:val="000000" w:themeColor="text1"/>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application.</w:t>
      </w:r>
    </w:p>
    <w:p w14:paraId="6BAB391E" w14:textId="77777777" w:rsidR="00A83B1D" w:rsidRPr="002933AF" w:rsidRDefault="00A83B1D" w:rsidP="00A83B1D">
      <w:pPr>
        <w:rPr>
          <w:color w:val="000000" w:themeColor="text1"/>
          <w:lang w:bidi="ar-SA"/>
        </w:rPr>
      </w:pPr>
    </w:p>
    <w:p w14:paraId="16159435" w14:textId="7DA36405" w:rsidR="00695935" w:rsidRDefault="00695935" w:rsidP="00A83B1D">
      <w:pPr>
        <w:rPr>
          <w:color w:val="000000" w:themeColor="text1"/>
          <w:lang w:bidi="ar-SA"/>
        </w:rPr>
      </w:pPr>
      <w:r>
        <w:rPr>
          <w:color w:val="000000" w:themeColor="text1"/>
          <w:lang w:bidi="ar-SA"/>
        </w:rPr>
        <w:t>Schedule 25 of the Code permits several DHA</w:t>
      </w:r>
      <w:r w:rsidR="006B2F9D">
        <w:rPr>
          <w:color w:val="000000" w:themeColor="text1"/>
          <w:lang w:bidi="ar-SA"/>
        </w:rPr>
        <w:t>-</w:t>
      </w:r>
      <w:r>
        <w:rPr>
          <w:color w:val="000000" w:themeColor="text1"/>
          <w:lang w:bidi="ar-SA"/>
        </w:rPr>
        <w:t xml:space="preserve">rich oils from algal sources to be used as novel foods. </w:t>
      </w:r>
    </w:p>
    <w:p w14:paraId="2ED1E9BF" w14:textId="77777777" w:rsidR="00695935" w:rsidRDefault="00695935" w:rsidP="00A83B1D">
      <w:pPr>
        <w:rPr>
          <w:color w:val="000000" w:themeColor="text1"/>
          <w:lang w:bidi="ar-SA"/>
        </w:rPr>
      </w:pPr>
    </w:p>
    <w:p w14:paraId="22BB2B1D" w14:textId="07EFA521" w:rsidR="00A83B1D" w:rsidRPr="002933AF" w:rsidRDefault="00A83B1D" w:rsidP="00A83B1D">
      <w:pPr>
        <w:rPr>
          <w:color w:val="000000" w:themeColor="text1"/>
          <w:lang w:bidi="ar-SA"/>
        </w:rPr>
      </w:pPr>
      <w:r>
        <w:rPr>
          <w:color w:val="000000" w:themeColor="text1"/>
          <w:lang w:bidi="ar-SA"/>
        </w:rPr>
        <w:t>The safety assess</w:t>
      </w:r>
      <w:r w:rsidR="0062163E">
        <w:rPr>
          <w:color w:val="000000" w:themeColor="text1"/>
          <w:lang w:bidi="ar-SA"/>
        </w:rPr>
        <w:t>ment of DHA canola</w:t>
      </w:r>
      <w:r w:rsidRPr="002933AF">
        <w:rPr>
          <w:color w:val="000000" w:themeColor="text1"/>
          <w:lang w:bidi="ar-SA"/>
        </w:rPr>
        <w:t xml:space="preserve"> is provided in Supporting Document 1</w:t>
      </w:r>
      <w:r>
        <w:rPr>
          <w:color w:val="000000" w:themeColor="text1"/>
          <w:lang w:bidi="ar-SA"/>
        </w:rPr>
        <w:t xml:space="preserve"> and </w:t>
      </w:r>
      <w:r w:rsidR="00A944BE">
        <w:rPr>
          <w:color w:val="000000" w:themeColor="text1"/>
          <w:lang w:bidi="ar-SA"/>
        </w:rPr>
        <w:t>the</w:t>
      </w:r>
      <w:r>
        <w:rPr>
          <w:color w:val="000000" w:themeColor="text1"/>
          <w:lang w:bidi="ar-SA"/>
        </w:rPr>
        <w:t xml:space="preserve"> Nutrition</w:t>
      </w:r>
      <w:r w:rsidR="00A944BE">
        <w:rPr>
          <w:color w:val="000000" w:themeColor="text1"/>
          <w:lang w:bidi="ar-SA"/>
        </w:rPr>
        <w:t xml:space="preserve"> </w:t>
      </w:r>
      <w:r w:rsidR="00C2544D">
        <w:rPr>
          <w:color w:val="000000" w:themeColor="text1"/>
          <w:lang w:bidi="ar-SA"/>
        </w:rPr>
        <w:t xml:space="preserve">Risk </w:t>
      </w:r>
      <w:r>
        <w:rPr>
          <w:color w:val="000000" w:themeColor="text1"/>
          <w:lang w:bidi="ar-SA"/>
        </w:rPr>
        <w:t>Assessment is provided in Supporting Document 2</w:t>
      </w:r>
      <w:r w:rsidRPr="002933AF">
        <w:rPr>
          <w:color w:val="000000" w:themeColor="text1"/>
          <w:lang w:bidi="ar-SA"/>
        </w:rPr>
        <w:t>. No potential public health and safety concerns have been identified. Based on the data provided in the present Application, and other available information, food de</w:t>
      </w:r>
      <w:r w:rsidR="00CC3A23">
        <w:rPr>
          <w:color w:val="000000" w:themeColor="text1"/>
          <w:lang w:bidi="ar-SA"/>
        </w:rPr>
        <w:t>rived from DHA canola</w:t>
      </w:r>
      <w:r w:rsidRPr="002933AF">
        <w:rPr>
          <w:color w:val="000000" w:themeColor="text1"/>
          <w:lang w:bidi="ar-SA"/>
        </w:rPr>
        <w:t xml:space="preserve"> is considered to be as safe for human consumption as food derived from </w:t>
      </w:r>
      <w:r w:rsidR="00CC3A23">
        <w:rPr>
          <w:color w:val="000000" w:themeColor="text1"/>
          <w:lang w:bidi="ar-SA"/>
        </w:rPr>
        <w:t>conventional canola</w:t>
      </w:r>
      <w:r w:rsidRPr="002933AF">
        <w:rPr>
          <w:color w:val="000000" w:themeColor="text1"/>
          <w:lang w:bidi="ar-SA"/>
        </w:rPr>
        <w:t xml:space="preserve"> cultivars.</w:t>
      </w:r>
    </w:p>
    <w:p w14:paraId="0171AAB7" w14:textId="77777777" w:rsidR="00A83B1D" w:rsidRPr="002933AF" w:rsidRDefault="00A83B1D" w:rsidP="00A83B1D">
      <w:pPr>
        <w:rPr>
          <w:color w:val="000000" w:themeColor="text1"/>
          <w:lang w:bidi="ar-SA"/>
        </w:rPr>
      </w:pPr>
    </w:p>
    <w:p w14:paraId="00AEE448" w14:textId="4E5ACF86" w:rsidR="00A83B1D" w:rsidRPr="002933AF" w:rsidRDefault="00A83B1D" w:rsidP="00A83B1D">
      <w:pPr>
        <w:rPr>
          <w:color w:val="000000" w:themeColor="text1"/>
          <w:lang w:bidi="ar-SA"/>
        </w:rPr>
      </w:pPr>
      <w:r w:rsidRPr="002933AF">
        <w:rPr>
          <w:color w:val="000000" w:themeColor="text1"/>
          <w:lang w:bidi="ar-SA"/>
        </w:rPr>
        <w:t>FSANZ has prepared a draft variation to Schedule 26 that includes a</w:t>
      </w:r>
      <w:r>
        <w:rPr>
          <w:color w:val="000000" w:themeColor="text1"/>
          <w:lang w:bidi="ar-SA"/>
        </w:rPr>
        <w:t xml:space="preserve"> reference to food derived from </w:t>
      </w:r>
      <w:r w:rsidR="00CC3A23">
        <w:rPr>
          <w:color w:val="000000" w:themeColor="text1"/>
          <w:lang w:bidi="ar-SA"/>
        </w:rPr>
        <w:t>DHA canola line NS-B50027-4</w:t>
      </w:r>
      <w:r w:rsidR="006B2F9D">
        <w:rPr>
          <w:color w:val="000000" w:themeColor="text1"/>
          <w:lang w:bidi="ar-SA"/>
        </w:rPr>
        <w:t>.</w:t>
      </w:r>
    </w:p>
    <w:p w14:paraId="507861AB" w14:textId="77777777" w:rsidR="0053464E" w:rsidRDefault="0053464E" w:rsidP="00A56E34">
      <w:r>
        <w:br w:type="page"/>
      </w:r>
    </w:p>
    <w:p w14:paraId="3547B559" w14:textId="77777777" w:rsidR="002A5F8B" w:rsidRPr="000B6AF2" w:rsidRDefault="00F33BB8" w:rsidP="000B6AF2">
      <w:pPr>
        <w:pStyle w:val="Heading1"/>
      </w:pPr>
      <w:bookmarkStart w:id="9" w:name="_Toc300933417"/>
      <w:bookmarkStart w:id="10" w:name="_Toc490726022"/>
      <w:r>
        <w:lastRenderedPageBreak/>
        <w:t>1</w:t>
      </w:r>
      <w:r w:rsidR="001542D8">
        <w:tab/>
      </w:r>
      <w:r w:rsidR="002A5F8B" w:rsidRPr="000B6AF2">
        <w:t>Introduction</w:t>
      </w:r>
      <w:bookmarkEnd w:id="8"/>
      <w:bookmarkEnd w:id="9"/>
      <w:bookmarkEnd w:id="10"/>
    </w:p>
    <w:p w14:paraId="1B04E8DB" w14:textId="77777777" w:rsidR="0053464E" w:rsidRPr="0053464E" w:rsidRDefault="00F33BB8" w:rsidP="00A56E34">
      <w:pPr>
        <w:pStyle w:val="Heading2"/>
      </w:pPr>
      <w:bookmarkStart w:id="11" w:name="_Toc300761890"/>
      <w:bookmarkStart w:id="12" w:name="_Toc490726023"/>
      <w:bookmarkStart w:id="13" w:name="_Toc300933419"/>
      <w:r>
        <w:t>1</w:t>
      </w:r>
      <w:r w:rsidR="0053464E" w:rsidRPr="0053464E">
        <w:t>.1</w:t>
      </w:r>
      <w:r w:rsidR="0053464E" w:rsidRPr="0053464E">
        <w:tab/>
        <w:t>The Applicant</w:t>
      </w:r>
      <w:bookmarkEnd w:id="11"/>
      <w:bookmarkEnd w:id="12"/>
      <w:r w:rsidR="00256D65" w:rsidRPr="00256D65">
        <w:t xml:space="preserve"> </w:t>
      </w:r>
      <w:bookmarkEnd w:id="13"/>
    </w:p>
    <w:p w14:paraId="2665E503" w14:textId="77777777" w:rsidR="0053464E" w:rsidRPr="00CC3A23" w:rsidRDefault="00CC3A23" w:rsidP="0053464E">
      <w:pPr>
        <w:rPr>
          <w:color w:val="000000" w:themeColor="text1"/>
        </w:rPr>
      </w:pPr>
      <w:proofErr w:type="spellStart"/>
      <w:r>
        <w:rPr>
          <w:color w:val="000000" w:themeColor="text1"/>
        </w:rPr>
        <w:t>Nuseed</w:t>
      </w:r>
      <w:proofErr w:type="spellEnd"/>
      <w:r>
        <w:rPr>
          <w:color w:val="000000" w:themeColor="text1"/>
        </w:rPr>
        <w:t xml:space="preserve"> Pty Ltd (</w:t>
      </w:r>
      <w:proofErr w:type="spellStart"/>
      <w:r>
        <w:rPr>
          <w:color w:val="000000" w:themeColor="text1"/>
        </w:rPr>
        <w:t>Nuseed</w:t>
      </w:r>
      <w:proofErr w:type="spellEnd"/>
      <w:r>
        <w:rPr>
          <w:color w:val="000000" w:themeColor="text1"/>
        </w:rPr>
        <w:t xml:space="preserve">), a wholly owned subsidiary of </w:t>
      </w:r>
      <w:proofErr w:type="spellStart"/>
      <w:r>
        <w:rPr>
          <w:color w:val="000000" w:themeColor="text1"/>
        </w:rPr>
        <w:t>Nufarm</w:t>
      </w:r>
      <w:proofErr w:type="spellEnd"/>
      <w:r>
        <w:rPr>
          <w:color w:val="000000" w:themeColor="text1"/>
        </w:rPr>
        <w:t xml:space="preserve"> Limited, is a specialised global seed company.</w:t>
      </w:r>
    </w:p>
    <w:p w14:paraId="2E0F7A8F" w14:textId="77777777" w:rsidR="0053464E" w:rsidRPr="00750DEC" w:rsidRDefault="00F33BB8" w:rsidP="00A56E34">
      <w:pPr>
        <w:pStyle w:val="Heading2"/>
        <w:rPr>
          <w:color w:val="000000" w:themeColor="text1"/>
        </w:rPr>
      </w:pPr>
      <w:bookmarkStart w:id="14" w:name="_Toc300761891"/>
      <w:bookmarkStart w:id="15" w:name="_Toc300933420"/>
      <w:bookmarkStart w:id="16" w:name="_Toc490726024"/>
      <w:r>
        <w:t>1</w:t>
      </w:r>
      <w:r w:rsidR="0053464E" w:rsidRPr="0053464E">
        <w:t>.2</w:t>
      </w:r>
      <w:r w:rsidR="0053464E" w:rsidRPr="0053464E">
        <w:tab/>
      </w:r>
      <w:r w:rsidR="0053464E" w:rsidRPr="00750DEC">
        <w:rPr>
          <w:color w:val="000000" w:themeColor="text1"/>
        </w:rPr>
        <w:t>The Application</w:t>
      </w:r>
      <w:bookmarkEnd w:id="14"/>
      <w:bookmarkEnd w:id="15"/>
      <w:bookmarkEnd w:id="16"/>
    </w:p>
    <w:p w14:paraId="3B20C00F" w14:textId="35012848" w:rsidR="002B667B" w:rsidRPr="002B667B" w:rsidRDefault="00CC3A23" w:rsidP="002B667B">
      <w:pPr>
        <w:rPr>
          <w:color w:val="000000" w:themeColor="text1"/>
          <w:szCs w:val="22"/>
        </w:rPr>
      </w:pPr>
      <w:r w:rsidRPr="00CC3A23">
        <w:rPr>
          <w:color w:val="000000" w:themeColor="text1"/>
        </w:rPr>
        <w:t>Application A1143</w:t>
      </w:r>
      <w:r>
        <w:rPr>
          <w:color w:val="000000" w:themeColor="text1"/>
        </w:rPr>
        <w:t xml:space="preserve"> was submitted by </w:t>
      </w:r>
      <w:proofErr w:type="spellStart"/>
      <w:r>
        <w:rPr>
          <w:color w:val="000000" w:themeColor="text1"/>
        </w:rPr>
        <w:t>Nuseed</w:t>
      </w:r>
      <w:proofErr w:type="spellEnd"/>
      <w:r w:rsidR="00750DEC">
        <w:rPr>
          <w:color w:val="000000" w:themeColor="text1"/>
        </w:rPr>
        <w:t xml:space="preserve"> on 10 February 2017. It seeks a variation to Schedule </w:t>
      </w:r>
      <w:r w:rsidR="00750DEC" w:rsidRPr="007B0B05">
        <w:rPr>
          <w:color w:val="000000" w:themeColor="text1"/>
        </w:rPr>
        <w:t xml:space="preserve">26 </w:t>
      </w:r>
      <w:r w:rsidR="00750DEC" w:rsidRPr="007B0B05">
        <w:rPr>
          <w:color w:val="000000" w:themeColor="text1"/>
          <w:szCs w:val="22"/>
        </w:rPr>
        <w:t xml:space="preserve">in the </w:t>
      </w:r>
      <w:r w:rsidR="00750DEC" w:rsidRPr="007B0B05">
        <w:rPr>
          <w:i/>
          <w:color w:val="000000" w:themeColor="text1"/>
          <w:szCs w:val="22"/>
        </w:rPr>
        <w:t>Australia New Zealand Food Standards Code</w:t>
      </w:r>
      <w:r w:rsidR="00750DEC" w:rsidRPr="007B0B05">
        <w:rPr>
          <w:color w:val="000000" w:themeColor="text1"/>
          <w:szCs w:val="22"/>
        </w:rPr>
        <w:t xml:space="preserve"> (the Code) to include food from a new genetically modified (GM)</w:t>
      </w:r>
      <w:r w:rsidR="00750DEC">
        <w:rPr>
          <w:color w:val="000000" w:themeColor="text1"/>
          <w:szCs w:val="22"/>
        </w:rPr>
        <w:t xml:space="preserve"> canola (</w:t>
      </w:r>
      <w:r w:rsidR="00750DEC" w:rsidRPr="00750DEC">
        <w:rPr>
          <w:i/>
          <w:color w:val="000000" w:themeColor="text1"/>
          <w:szCs w:val="22"/>
        </w:rPr>
        <w:t xml:space="preserve">Brassica </w:t>
      </w:r>
      <w:proofErr w:type="spellStart"/>
      <w:r w:rsidR="00750DEC" w:rsidRPr="00750DEC">
        <w:rPr>
          <w:i/>
          <w:color w:val="000000" w:themeColor="text1"/>
          <w:szCs w:val="22"/>
        </w:rPr>
        <w:t>napus</w:t>
      </w:r>
      <w:proofErr w:type="spellEnd"/>
      <w:r w:rsidR="00750DEC">
        <w:rPr>
          <w:color w:val="000000" w:themeColor="text1"/>
          <w:szCs w:val="22"/>
        </w:rPr>
        <w:t>) line NS-B50027-4 (henceforth referred to as DHA canola).</w:t>
      </w:r>
      <w:r w:rsidR="007B144E">
        <w:rPr>
          <w:color w:val="000000" w:themeColor="text1"/>
          <w:szCs w:val="22"/>
        </w:rPr>
        <w:t xml:space="preserve"> </w:t>
      </w:r>
      <w:r w:rsidR="002B667B" w:rsidRPr="009A02D2">
        <w:rPr>
          <w:color w:val="000000" w:themeColor="text1"/>
          <w:szCs w:val="22"/>
        </w:rPr>
        <w:t xml:space="preserve">This canola line has </w:t>
      </w:r>
      <w:r w:rsidR="002B667B" w:rsidRPr="000849B3">
        <w:rPr>
          <w:color w:val="000000" w:themeColor="text1"/>
          <w:szCs w:val="22"/>
        </w:rPr>
        <w:t>been genetically modified to introduce, into the seed, the pathway f</w:t>
      </w:r>
      <w:r w:rsidR="002B667B">
        <w:rPr>
          <w:color w:val="000000" w:themeColor="text1"/>
          <w:szCs w:val="22"/>
        </w:rPr>
        <w:t xml:space="preserve">or </w:t>
      </w:r>
      <w:r w:rsidR="001D128A">
        <w:rPr>
          <w:color w:val="000000" w:themeColor="text1"/>
          <w:szCs w:val="22"/>
        </w:rPr>
        <w:t xml:space="preserve">producing </w:t>
      </w:r>
      <w:r w:rsidR="002B667B">
        <w:rPr>
          <w:color w:val="000000" w:themeColor="text1"/>
          <w:szCs w:val="22"/>
        </w:rPr>
        <w:t xml:space="preserve">the </w:t>
      </w:r>
      <w:r w:rsidR="002B667B" w:rsidRPr="000849B3">
        <w:rPr>
          <w:color w:val="000000" w:themeColor="text1"/>
          <w:szCs w:val="22"/>
        </w:rPr>
        <w:t xml:space="preserve">omega-3 </w:t>
      </w:r>
      <w:r w:rsidR="002B667B">
        <w:rPr>
          <w:color w:val="000000" w:themeColor="text1"/>
          <w:szCs w:val="22"/>
        </w:rPr>
        <w:t xml:space="preserve">long chain polyunsaturated </w:t>
      </w:r>
      <w:r w:rsidR="002B667B" w:rsidRPr="000849B3">
        <w:rPr>
          <w:color w:val="000000" w:themeColor="text1"/>
          <w:szCs w:val="22"/>
        </w:rPr>
        <w:t xml:space="preserve">fatty </w:t>
      </w:r>
      <w:proofErr w:type="gramStart"/>
      <w:r w:rsidR="002B667B" w:rsidRPr="000849B3">
        <w:rPr>
          <w:color w:val="000000" w:themeColor="text1"/>
          <w:szCs w:val="22"/>
        </w:rPr>
        <w:t>acid</w:t>
      </w:r>
      <w:proofErr w:type="gramEnd"/>
      <w:r w:rsidR="003C2DCF">
        <w:rPr>
          <w:color w:val="000000" w:themeColor="text1"/>
          <w:szCs w:val="22"/>
        </w:rPr>
        <w:br/>
      </w:r>
      <w:r w:rsidR="002B667B">
        <w:rPr>
          <w:color w:val="000000" w:themeColor="text1"/>
          <w:szCs w:val="22"/>
        </w:rPr>
        <w:t>(n-3 LC PUFA)</w:t>
      </w:r>
      <w:r w:rsidR="002B667B" w:rsidRPr="000849B3">
        <w:rPr>
          <w:color w:val="000000" w:themeColor="text1"/>
          <w:szCs w:val="22"/>
        </w:rPr>
        <w:t xml:space="preserve"> docosahexaenoic </w:t>
      </w:r>
      <w:r w:rsidR="002B667B" w:rsidRPr="0048008F">
        <w:rPr>
          <w:color w:val="000000" w:themeColor="text1"/>
          <w:szCs w:val="22"/>
        </w:rPr>
        <w:t>acid (DHA) from</w:t>
      </w:r>
      <w:r w:rsidR="002B667B" w:rsidRPr="000849B3">
        <w:rPr>
          <w:color w:val="000000" w:themeColor="text1"/>
          <w:szCs w:val="22"/>
        </w:rPr>
        <w:t xml:space="preserve"> oleic acid</w:t>
      </w:r>
      <w:r w:rsidR="002B667B">
        <w:rPr>
          <w:color w:val="000000" w:themeColor="text1"/>
          <w:szCs w:val="22"/>
        </w:rPr>
        <w:t xml:space="preserve"> (OA)</w:t>
      </w:r>
      <w:r w:rsidR="002B667B" w:rsidRPr="000849B3">
        <w:rPr>
          <w:color w:val="000000" w:themeColor="text1"/>
          <w:szCs w:val="22"/>
        </w:rPr>
        <w:t>.</w:t>
      </w:r>
      <w:r w:rsidR="002B667B">
        <w:rPr>
          <w:color w:val="000000" w:themeColor="text1"/>
          <w:szCs w:val="22"/>
        </w:rPr>
        <w:t xml:space="preserve"> Other n-3 LC PUFAs in the DHA synthesis pathway, particularly </w:t>
      </w:r>
      <w:proofErr w:type="spellStart"/>
      <w:r w:rsidR="002B667B">
        <w:rPr>
          <w:color w:val="000000" w:themeColor="text1"/>
          <w:szCs w:val="22"/>
          <w:lang w:val="en-US"/>
        </w:rPr>
        <w:t>eicosapentaenoic</w:t>
      </w:r>
      <w:proofErr w:type="spellEnd"/>
      <w:r w:rsidR="002B667B">
        <w:rPr>
          <w:color w:val="000000" w:themeColor="text1"/>
          <w:szCs w:val="22"/>
          <w:lang w:val="en-US"/>
        </w:rPr>
        <w:t xml:space="preserve"> acid, (EPA) </w:t>
      </w:r>
      <w:r w:rsidR="002B667B">
        <w:rPr>
          <w:color w:val="000000" w:themeColor="text1"/>
          <w:szCs w:val="22"/>
        </w:rPr>
        <w:t>would also be present.</w:t>
      </w:r>
    </w:p>
    <w:p w14:paraId="22DD8AF4" w14:textId="43F3BE5A" w:rsidR="0053464E" w:rsidRDefault="0053464E" w:rsidP="0053464E">
      <w:pPr>
        <w:rPr>
          <w:color w:val="000000" w:themeColor="text1"/>
          <w:szCs w:val="22"/>
        </w:rPr>
      </w:pPr>
    </w:p>
    <w:p w14:paraId="359C8820" w14:textId="7F972CC8" w:rsidR="00750DEC" w:rsidRDefault="00750DEC" w:rsidP="00750DEC">
      <w:pPr>
        <w:rPr>
          <w:color w:val="000000" w:themeColor="text1"/>
          <w:szCs w:val="22"/>
          <w:lang w:val="en-AU"/>
        </w:rPr>
      </w:pPr>
      <w:r w:rsidRPr="003E3B01">
        <w:rPr>
          <w:color w:val="000000" w:themeColor="text1"/>
          <w:szCs w:val="22"/>
          <w:lang w:val="en-AU"/>
        </w:rPr>
        <w:t>Coding sequences from seven genes in the DHA pathway have been introduced as follows:</w:t>
      </w:r>
    </w:p>
    <w:p w14:paraId="220FCA35" w14:textId="77777777" w:rsidR="0087773C" w:rsidRPr="003E3B01" w:rsidRDefault="0087773C" w:rsidP="00750DEC">
      <w:pPr>
        <w:rPr>
          <w:color w:val="000000" w:themeColor="text1"/>
          <w:szCs w:val="22"/>
          <w:lang w:val="en-AU"/>
        </w:rPr>
      </w:pPr>
    </w:p>
    <w:p w14:paraId="511F0466" w14:textId="77777777" w:rsidR="00750DEC" w:rsidRPr="003E3B01" w:rsidRDefault="00750DEC" w:rsidP="00750DEC">
      <w:pPr>
        <w:pStyle w:val="ListParagraph"/>
        <w:numPr>
          <w:ilvl w:val="0"/>
          <w:numId w:val="9"/>
        </w:numPr>
        <w:ind w:left="567" w:hanging="567"/>
        <w:rPr>
          <w:color w:val="000000" w:themeColor="text1"/>
          <w:szCs w:val="22"/>
          <w:lang w:val="en-AU"/>
        </w:rPr>
      </w:pPr>
      <w:r w:rsidRPr="003E3B01">
        <w:rPr>
          <w:rFonts w:cs="Arial"/>
          <w:color w:val="000000" w:themeColor="text1"/>
          <w:szCs w:val="22"/>
          <w:lang w:val="en-AU"/>
        </w:rPr>
        <w:t>Δ</w:t>
      </w:r>
      <w:r w:rsidRPr="003E3B01">
        <w:rPr>
          <w:color w:val="000000" w:themeColor="text1"/>
          <w:szCs w:val="22"/>
          <w:lang w:val="en-AU"/>
        </w:rPr>
        <w:t>12 desaturase</w:t>
      </w:r>
      <w:r w:rsidRPr="003E3B01">
        <w:rPr>
          <w:i/>
          <w:color w:val="000000" w:themeColor="text1"/>
          <w:szCs w:val="22"/>
          <w:lang w:val="en-AU"/>
        </w:rPr>
        <w:t xml:space="preserve"> (Lackl-</w:t>
      </w:r>
      <w:r w:rsidRPr="003E3B01">
        <w:rPr>
          <w:rFonts w:cs="Arial"/>
          <w:i/>
          <w:color w:val="000000" w:themeColor="text1"/>
          <w:szCs w:val="22"/>
          <w:lang w:val="en-AU"/>
        </w:rPr>
        <w:t>Δ</w:t>
      </w:r>
      <w:r w:rsidRPr="003E3B01">
        <w:rPr>
          <w:i/>
          <w:color w:val="000000" w:themeColor="text1"/>
          <w:szCs w:val="22"/>
          <w:lang w:val="en-AU"/>
        </w:rPr>
        <w:t>12D)</w:t>
      </w:r>
      <w:r w:rsidRPr="003E3B01">
        <w:rPr>
          <w:color w:val="000000" w:themeColor="text1"/>
          <w:szCs w:val="22"/>
          <w:lang w:val="en-AU"/>
        </w:rPr>
        <w:t xml:space="preserve"> from the yeast </w:t>
      </w:r>
      <w:proofErr w:type="spellStart"/>
      <w:r w:rsidRPr="003E3B01">
        <w:rPr>
          <w:i/>
          <w:color w:val="000000" w:themeColor="text1"/>
          <w:szCs w:val="22"/>
          <w:lang w:val="en-AU"/>
        </w:rPr>
        <w:t>Lachancea</w:t>
      </w:r>
      <w:proofErr w:type="spellEnd"/>
      <w:r w:rsidRPr="003E3B01">
        <w:rPr>
          <w:i/>
          <w:color w:val="000000" w:themeColor="text1"/>
          <w:szCs w:val="22"/>
          <w:lang w:val="en-AU"/>
        </w:rPr>
        <w:t xml:space="preserve"> </w:t>
      </w:r>
      <w:proofErr w:type="spellStart"/>
      <w:r w:rsidRPr="003E3B01">
        <w:rPr>
          <w:i/>
          <w:color w:val="000000" w:themeColor="text1"/>
          <w:szCs w:val="22"/>
          <w:lang w:val="en-AU"/>
        </w:rPr>
        <w:t>kluyveri</w:t>
      </w:r>
      <w:proofErr w:type="spellEnd"/>
    </w:p>
    <w:p w14:paraId="2DF88F8D" w14:textId="77777777" w:rsidR="00750DEC" w:rsidRPr="003E3B01" w:rsidRDefault="00750DEC" w:rsidP="00750DEC">
      <w:pPr>
        <w:pStyle w:val="ListParagraph"/>
        <w:numPr>
          <w:ilvl w:val="0"/>
          <w:numId w:val="9"/>
        </w:numPr>
        <w:ind w:left="567" w:hanging="567"/>
        <w:rPr>
          <w:color w:val="000000" w:themeColor="text1"/>
          <w:szCs w:val="22"/>
          <w:lang w:val="en-AU"/>
        </w:rPr>
      </w:pPr>
      <w:r w:rsidRPr="003E3B01">
        <w:rPr>
          <w:rFonts w:cs="Arial"/>
          <w:color w:val="000000" w:themeColor="text1"/>
          <w:szCs w:val="22"/>
          <w:lang w:val="en-AU"/>
        </w:rPr>
        <w:t>Δ</w:t>
      </w:r>
      <w:r w:rsidRPr="003E3B01">
        <w:rPr>
          <w:color w:val="000000" w:themeColor="text1"/>
          <w:szCs w:val="22"/>
          <w:lang w:val="en-AU"/>
        </w:rPr>
        <w:t>15-/</w:t>
      </w:r>
      <w:r w:rsidRPr="003E3B01">
        <w:rPr>
          <w:rFonts w:cs="Arial"/>
          <w:color w:val="000000" w:themeColor="text1"/>
          <w:szCs w:val="22"/>
        </w:rPr>
        <w:t xml:space="preserve"> ω</w:t>
      </w:r>
      <w:r w:rsidRPr="003E3B01">
        <w:rPr>
          <w:color w:val="000000" w:themeColor="text1"/>
          <w:szCs w:val="22"/>
        </w:rPr>
        <w:t>3</w:t>
      </w:r>
      <w:r w:rsidRPr="003E3B01">
        <w:rPr>
          <w:color w:val="000000" w:themeColor="text1"/>
          <w:szCs w:val="22"/>
          <w:lang w:val="en-AU"/>
        </w:rPr>
        <w:t xml:space="preserve"> desaturase</w:t>
      </w:r>
      <w:r w:rsidRPr="003E3B01">
        <w:rPr>
          <w:i/>
          <w:color w:val="000000" w:themeColor="text1"/>
          <w:szCs w:val="22"/>
          <w:lang w:val="en-AU"/>
        </w:rPr>
        <w:t xml:space="preserve"> (</w:t>
      </w:r>
      <w:proofErr w:type="spellStart"/>
      <w:r w:rsidRPr="003E3B01">
        <w:rPr>
          <w:i/>
          <w:color w:val="000000" w:themeColor="text1"/>
          <w:szCs w:val="22"/>
          <w:lang w:val="en-AU"/>
        </w:rPr>
        <w:t>Picpa</w:t>
      </w:r>
      <w:proofErr w:type="spellEnd"/>
      <w:r w:rsidRPr="003E3B01">
        <w:rPr>
          <w:i/>
          <w:color w:val="000000" w:themeColor="text1"/>
          <w:szCs w:val="22"/>
          <w:lang w:val="en-AU"/>
        </w:rPr>
        <w:t>-</w:t>
      </w:r>
      <w:r w:rsidRPr="003E3B01">
        <w:rPr>
          <w:rFonts w:cs="Arial"/>
          <w:i/>
          <w:color w:val="000000" w:themeColor="text1"/>
          <w:szCs w:val="22"/>
        </w:rPr>
        <w:t xml:space="preserve"> ω</w:t>
      </w:r>
      <w:r w:rsidRPr="003E3B01">
        <w:rPr>
          <w:i/>
          <w:color w:val="000000" w:themeColor="text1"/>
          <w:szCs w:val="22"/>
        </w:rPr>
        <w:t>3D</w:t>
      </w:r>
      <w:r w:rsidRPr="003E3B01">
        <w:rPr>
          <w:color w:val="000000" w:themeColor="text1"/>
          <w:szCs w:val="22"/>
          <w:lang w:val="en-AU"/>
        </w:rPr>
        <w:t xml:space="preserve">) from the yeast </w:t>
      </w:r>
      <w:r w:rsidRPr="003E3B01">
        <w:rPr>
          <w:i/>
          <w:color w:val="000000" w:themeColor="text1"/>
          <w:szCs w:val="22"/>
          <w:lang w:val="en-AU"/>
        </w:rPr>
        <w:t>Pichia pastoris</w:t>
      </w:r>
    </w:p>
    <w:p w14:paraId="33A7ED8A" w14:textId="77777777" w:rsidR="00750DEC" w:rsidRPr="003E3B01" w:rsidRDefault="00750DEC" w:rsidP="00750DEC">
      <w:pPr>
        <w:pStyle w:val="ListParagraph"/>
        <w:numPr>
          <w:ilvl w:val="0"/>
          <w:numId w:val="9"/>
        </w:numPr>
        <w:ind w:left="567" w:hanging="567"/>
        <w:rPr>
          <w:color w:val="000000" w:themeColor="text1"/>
          <w:szCs w:val="22"/>
          <w:lang w:val="en-AU"/>
        </w:rPr>
      </w:pPr>
      <w:r w:rsidRPr="003E3B01">
        <w:rPr>
          <w:rFonts w:cs="Arial"/>
          <w:color w:val="000000" w:themeColor="text1"/>
          <w:szCs w:val="22"/>
          <w:lang w:val="en-AU"/>
        </w:rPr>
        <w:t>Δ6</w:t>
      </w:r>
      <w:r w:rsidRPr="003E3B01">
        <w:rPr>
          <w:color w:val="000000" w:themeColor="text1"/>
          <w:szCs w:val="22"/>
          <w:lang w:val="en-AU"/>
        </w:rPr>
        <w:t xml:space="preserve"> </w:t>
      </w:r>
      <w:proofErr w:type="spellStart"/>
      <w:r w:rsidRPr="003E3B01">
        <w:rPr>
          <w:color w:val="000000" w:themeColor="text1"/>
          <w:szCs w:val="22"/>
          <w:lang w:val="en-AU"/>
        </w:rPr>
        <w:t>elongase</w:t>
      </w:r>
      <w:proofErr w:type="spellEnd"/>
      <w:r w:rsidRPr="003E3B01">
        <w:rPr>
          <w:i/>
          <w:color w:val="000000" w:themeColor="text1"/>
          <w:szCs w:val="22"/>
          <w:lang w:val="en-AU"/>
        </w:rPr>
        <w:t xml:space="preserve"> (Pyrco-</w:t>
      </w:r>
      <w:r w:rsidRPr="003E3B01">
        <w:rPr>
          <w:rFonts w:cs="Arial"/>
          <w:i/>
          <w:color w:val="000000" w:themeColor="text1"/>
          <w:szCs w:val="22"/>
          <w:lang w:val="en-AU"/>
        </w:rPr>
        <w:t>Δ</w:t>
      </w:r>
      <w:r w:rsidRPr="003E3B01">
        <w:rPr>
          <w:i/>
          <w:color w:val="000000" w:themeColor="text1"/>
          <w:szCs w:val="22"/>
          <w:lang w:val="en-AU"/>
        </w:rPr>
        <w:t>6E)</w:t>
      </w:r>
      <w:r w:rsidRPr="003E3B01">
        <w:rPr>
          <w:color w:val="000000" w:themeColor="text1"/>
          <w:szCs w:val="22"/>
          <w:lang w:val="en-AU"/>
        </w:rPr>
        <w:t xml:space="preserve"> from the marine microalga </w:t>
      </w:r>
      <w:proofErr w:type="spellStart"/>
      <w:r w:rsidRPr="003E3B01">
        <w:rPr>
          <w:i/>
          <w:color w:val="000000" w:themeColor="text1"/>
          <w:szCs w:val="22"/>
          <w:lang w:val="en-AU"/>
        </w:rPr>
        <w:t>Pyramimonas</w:t>
      </w:r>
      <w:proofErr w:type="spellEnd"/>
      <w:r w:rsidRPr="003E3B01">
        <w:rPr>
          <w:i/>
          <w:color w:val="000000" w:themeColor="text1"/>
          <w:szCs w:val="22"/>
          <w:lang w:val="en-AU"/>
        </w:rPr>
        <w:t xml:space="preserve"> </w:t>
      </w:r>
      <w:proofErr w:type="spellStart"/>
      <w:r w:rsidRPr="003E3B01">
        <w:rPr>
          <w:i/>
          <w:color w:val="000000" w:themeColor="text1"/>
          <w:szCs w:val="22"/>
          <w:lang w:val="en-AU"/>
        </w:rPr>
        <w:t>cordata</w:t>
      </w:r>
      <w:proofErr w:type="spellEnd"/>
    </w:p>
    <w:p w14:paraId="4C508E64" w14:textId="77777777" w:rsidR="00750DEC" w:rsidRPr="003E3B01" w:rsidRDefault="00750DEC" w:rsidP="00750DEC">
      <w:pPr>
        <w:pStyle w:val="ListParagraph"/>
        <w:numPr>
          <w:ilvl w:val="0"/>
          <w:numId w:val="9"/>
        </w:numPr>
        <w:ind w:left="567" w:hanging="567"/>
        <w:rPr>
          <w:color w:val="000000" w:themeColor="text1"/>
          <w:szCs w:val="22"/>
          <w:lang w:val="en-AU"/>
        </w:rPr>
      </w:pPr>
      <w:r w:rsidRPr="003E3B01">
        <w:rPr>
          <w:rFonts w:cs="Arial"/>
          <w:color w:val="000000" w:themeColor="text1"/>
          <w:szCs w:val="22"/>
          <w:lang w:val="en-AU"/>
        </w:rPr>
        <w:t>Δ</w:t>
      </w:r>
      <w:r w:rsidRPr="003E3B01">
        <w:rPr>
          <w:color w:val="000000" w:themeColor="text1"/>
          <w:szCs w:val="22"/>
          <w:lang w:val="en-AU"/>
        </w:rPr>
        <w:t>6 desaturase</w:t>
      </w:r>
      <w:r w:rsidRPr="003E3B01">
        <w:rPr>
          <w:i/>
          <w:color w:val="000000" w:themeColor="text1"/>
          <w:szCs w:val="22"/>
          <w:lang w:val="en-AU"/>
        </w:rPr>
        <w:t xml:space="preserve"> (Micpu-</w:t>
      </w:r>
      <w:r w:rsidRPr="003E3B01">
        <w:rPr>
          <w:rFonts w:cs="Arial"/>
          <w:i/>
          <w:color w:val="000000" w:themeColor="text1"/>
          <w:szCs w:val="22"/>
          <w:lang w:val="en-AU"/>
        </w:rPr>
        <w:t>Δ</w:t>
      </w:r>
      <w:r w:rsidRPr="003E3B01">
        <w:rPr>
          <w:i/>
          <w:color w:val="000000" w:themeColor="text1"/>
          <w:szCs w:val="22"/>
          <w:lang w:val="en-AU"/>
        </w:rPr>
        <w:t>6D)</w:t>
      </w:r>
      <w:r w:rsidRPr="003E3B01">
        <w:rPr>
          <w:color w:val="000000" w:themeColor="text1"/>
          <w:szCs w:val="22"/>
          <w:lang w:val="en-AU"/>
        </w:rPr>
        <w:t xml:space="preserve"> from the marine microalga </w:t>
      </w:r>
      <w:proofErr w:type="spellStart"/>
      <w:r w:rsidRPr="003E3B01">
        <w:rPr>
          <w:i/>
          <w:color w:val="000000" w:themeColor="text1"/>
          <w:szCs w:val="22"/>
          <w:lang w:val="en-AU"/>
        </w:rPr>
        <w:t>Micromonas</w:t>
      </w:r>
      <w:proofErr w:type="spellEnd"/>
      <w:r w:rsidRPr="003E3B01">
        <w:rPr>
          <w:i/>
          <w:color w:val="000000" w:themeColor="text1"/>
          <w:szCs w:val="22"/>
          <w:lang w:val="en-AU"/>
        </w:rPr>
        <w:t xml:space="preserve"> </w:t>
      </w:r>
      <w:proofErr w:type="spellStart"/>
      <w:r w:rsidRPr="003E3B01">
        <w:rPr>
          <w:i/>
          <w:color w:val="000000" w:themeColor="text1"/>
          <w:szCs w:val="22"/>
          <w:lang w:val="en-AU"/>
        </w:rPr>
        <w:t>pusilla</w:t>
      </w:r>
      <w:proofErr w:type="spellEnd"/>
    </w:p>
    <w:p w14:paraId="49736234" w14:textId="77777777" w:rsidR="00750DEC" w:rsidRPr="003E3B01" w:rsidRDefault="00750DEC" w:rsidP="00750DEC">
      <w:pPr>
        <w:pStyle w:val="ListParagraph"/>
        <w:numPr>
          <w:ilvl w:val="0"/>
          <w:numId w:val="9"/>
        </w:numPr>
        <w:ind w:left="567" w:hanging="567"/>
        <w:rPr>
          <w:color w:val="000000" w:themeColor="text1"/>
          <w:szCs w:val="22"/>
          <w:lang w:val="en-AU"/>
        </w:rPr>
      </w:pPr>
      <w:r w:rsidRPr="003E3B01">
        <w:rPr>
          <w:rFonts w:cs="Arial"/>
          <w:color w:val="000000" w:themeColor="text1"/>
          <w:szCs w:val="22"/>
          <w:lang w:val="en-AU"/>
        </w:rPr>
        <w:t>Δ</w:t>
      </w:r>
      <w:r w:rsidRPr="003E3B01">
        <w:rPr>
          <w:color w:val="000000" w:themeColor="text1"/>
          <w:szCs w:val="22"/>
          <w:lang w:val="en-AU"/>
        </w:rPr>
        <w:t xml:space="preserve">5 </w:t>
      </w:r>
      <w:proofErr w:type="spellStart"/>
      <w:r w:rsidRPr="003E3B01">
        <w:rPr>
          <w:color w:val="000000" w:themeColor="text1"/>
          <w:szCs w:val="22"/>
          <w:lang w:val="en-AU"/>
        </w:rPr>
        <w:t>elongase</w:t>
      </w:r>
      <w:proofErr w:type="spellEnd"/>
      <w:r w:rsidRPr="003E3B01">
        <w:rPr>
          <w:i/>
          <w:color w:val="000000" w:themeColor="text1"/>
          <w:szCs w:val="22"/>
          <w:lang w:val="en-AU"/>
        </w:rPr>
        <w:t xml:space="preserve"> (Pyrco-</w:t>
      </w:r>
      <w:r w:rsidRPr="003E3B01">
        <w:rPr>
          <w:rFonts w:cs="Arial"/>
          <w:i/>
          <w:color w:val="000000" w:themeColor="text1"/>
          <w:szCs w:val="22"/>
          <w:lang w:val="en-AU"/>
        </w:rPr>
        <w:t>Δ</w:t>
      </w:r>
      <w:r w:rsidRPr="003E3B01">
        <w:rPr>
          <w:i/>
          <w:color w:val="000000" w:themeColor="text1"/>
          <w:szCs w:val="22"/>
          <w:lang w:val="en-AU"/>
        </w:rPr>
        <w:t>5E)</w:t>
      </w:r>
      <w:r w:rsidRPr="003E3B01">
        <w:rPr>
          <w:color w:val="000000" w:themeColor="text1"/>
          <w:szCs w:val="22"/>
          <w:lang w:val="en-AU"/>
        </w:rPr>
        <w:t xml:space="preserve"> from the marine microalga </w:t>
      </w:r>
      <w:proofErr w:type="spellStart"/>
      <w:r w:rsidRPr="003E3B01">
        <w:rPr>
          <w:i/>
          <w:color w:val="000000" w:themeColor="text1"/>
          <w:szCs w:val="22"/>
          <w:lang w:val="en-AU"/>
        </w:rPr>
        <w:t>Pyramimonas</w:t>
      </w:r>
      <w:proofErr w:type="spellEnd"/>
      <w:r w:rsidRPr="003E3B01">
        <w:rPr>
          <w:i/>
          <w:color w:val="000000" w:themeColor="text1"/>
          <w:szCs w:val="22"/>
          <w:lang w:val="en-AU"/>
        </w:rPr>
        <w:t xml:space="preserve"> </w:t>
      </w:r>
      <w:proofErr w:type="spellStart"/>
      <w:r w:rsidRPr="003E3B01">
        <w:rPr>
          <w:i/>
          <w:color w:val="000000" w:themeColor="text1"/>
          <w:szCs w:val="22"/>
          <w:lang w:val="en-AU"/>
        </w:rPr>
        <w:t>cordata</w:t>
      </w:r>
      <w:proofErr w:type="spellEnd"/>
    </w:p>
    <w:p w14:paraId="6A8B307E" w14:textId="77777777" w:rsidR="00750DEC" w:rsidRPr="003E3B01" w:rsidRDefault="00750DEC" w:rsidP="00750DEC">
      <w:pPr>
        <w:pStyle w:val="ListParagraph"/>
        <w:numPr>
          <w:ilvl w:val="0"/>
          <w:numId w:val="9"/>
        </w:numPr>
        <w:ind w:left="567" w:hanging="567"/>
        <w:rPr>
          <w:color w:val="000000" w:themeColor="text1"/>
          <w:szCs w:val="22"/>
          <w:lang w:val="en-AU"/>
        </w:rPr>
      </w:pPr>
      <w:r w:rsidRPr="003E3B01">
        <w:rPr>
          <w:rFonts w:cs="Arial"/>
          <w:color w:val="000000" w:themeColor="text1"/>
          <w:szCs w:val="22"/>
          <w:lang w:val="en-AU"/>
        </w:rPr>
        <w:t>Δ</w:t>
      </w:r>
      <w:r w:rsidRPr="003E3B01">
        <w:rPr>
          <w:color w:val="000000" w:themeColor="text1"/>
          <w:szCs w:val="22"/>
          <w:lang w:val="en-AU"/>
        </w:rPr>
        <w:t>5 desaturase</w:t>
      </w:r>
      <w:r w:rsidRPr="003E3B01">
        <w:rPr>
          <w:i/>
          <w:color w:val="000000" w:themeColor="text1"/>
          <w:szCs w:val="22"/>
          <w:lang w:val="en-AU"/>
        </w:rPr>
        <w:t xml:space="preserve"> (Pavsa-</w:t>
      </w:r>
      <w:r w:rsidRPr="003E3B01">
        <w:rPr>
          <w:rFonts w:cs="Arial"/>
          <w:i/>
          <w:color w:val="000000" w:themeColor="text1"/>
          <w:szCs w:val="22"/>
          <w:lang w:val="en-AU"/>
        </w:rPr>
        <w:t>Δ</w:t>
      </w:r>
      <w:r w:rsidRPr="003E3B01">
        <w:rPr>
          <w:i/>
          <w:color w:val="000000" w:themeColor="text1"/>
          <w:szCs w:val="22"/>
          <w:lang w:val="en-AU"/>
        </w:rPr>
        <w:t>5D)</w:t>
      </w:r>
      <w:r w:rsidRPr="003E3B01">
        <w:rPr>
          <w:color w:val="000000" w:themeColor="text1"/>
          <w:szCs w:val="22"/>
          <w:lang w:val="en-AU"/>
        </w:rPr>
        <w:t xml:space="preserve"> from the marine microalga </w:t>
      </w:r>
      <w:r w:rsidRPr="003E3B01">
        <w:rPr>
          <w:i/>
          <w:color w:val="000000" w:themeColor="text1"/>
          <w:szCs w:val="22"/>
          <w:lang w:val="en-AU"/>
        </w:rPr>
        <w:t xml:space="preserve">Pavlova </w:t>
      </w:r>
      <w:proofErr w:type="spellStart"/>
      <w:r w:rsidRPr="003E3B01">
        <w:rPr>
          <w:i/>
          <w:color w:val="000000" w:themeColor="text1"/>
          <w:szCs w:val="22"/>
          <w:lang w:val="en-AU"/>
        </w:rPr>
        <w:t>salina</w:t>
      </w:r>
      <w:proofErr w:type="spellEnd"/>
    </w:p>
    <w:p w14:paraId="78D0362D" w14:textId="77777777" w:rsidR="00750DEC" w:rsidRPr="003E3B01" w:rsidRDefault="00750DEC" w:rsidP="00750DEC">
      <w:pPr>
        <w:pStyle w:val="ListParagraph"/>
        <w:numPr>
          <w:ilvl w:val="0"/>
          <w:numId w:val="9"/>
        </w:numPr>
        <w:ind w:left="567" w:hanging="567"/>
        <w:rPr>
          <w:color w:val="000000" w:themeColor="text1"/>
          <w:szCs w:val="22"/>
          <w:lang w:val="en-AU"/>
        </w:rPr>
      </w:pPr>
      <w:r w:rsidRPr="003E3B01">
        <w:rPr>
          <w:rFonts w:cs="Arial"/>
          <w:color w:val="000000" w:themeColor="text1"/>
          <w:szCs w:val="22"/>
          <w:lang w:val="en-AU"/>
        </w:rPr>
        <w:t>Δ</w:t>
      </w:r>
      <w:r w:rsidRPr="003E3B01">
        <w:rPr>
          <w:color w:val="000000" w:themeColor="text1"/>
          <w:szCs w:val="22"/>
          <w:lang w:val="en-AU"/>
        </w:rPr>
        <w:t>4 desaturase</w:t>
      </w:r>
      <w:r w:rsidRPr="003E3B01">
        <w:rPr>
          <w:i/>
          <w:color w:val="000000" w:themeColor="text1"/>
          <w:szCs w:val="22"/>
          <w:lang w:val="en-AU"/>
        </w:rPr>
        <w:t xml:space="preserve"> (Pavsa-</w:t>
      </w:r>
      <w:r w:rsidRPr="003E3B01">
        <w:rPr>
          <w:rFonts w:cs="Arial"/>
          <w:i/>
          <w:color w:val="000000" w:themeColor="text1"/>
          <w:szCs w:val="22"/>
          <w:lang w:val="en-AU"/>
        </w:rPr>
        <w:t>Δ</w:t>
      </w:r>
      <w:r w:rsidRPr="003E3B01">
        <w:rPr>
          <w:i/>
          <w:color w:val="000000" w:themeColor="text1"/>
          <w:szCs w:val="22"/>
          <w:lang w:val="en-AU"/>
        </w:rPr>
        <w:t>4D)</w:t>
      </w:r>
      <w:r w:rsidRPr="003E3B01">
        <w:rPr>
          <w:color w:val="000000" w:themeColor="text1"/>
          <w:szCs w:val="22"/>
          <w:lang w:val="en-AU"/>
        </w:rPr>
        <w:t xml:space="preserve"> from the marine microalga </w:t>
      </w:r>
      <w:r w:rsidRPr="003E3B01">
        <w:rPr>
          <w:i/>
          <w:color w:val="000000" w:themeColor="text1"/>
          <w:szCs w:val="22"/>
          <w:lang w:val="en-AU"/>
        </w:rPr>
        <w:t xml:space="preserve">Pavlova </w:t>
      </w:r>
      <w:proofErr w:type="spellStart"/>
      <w:r w:rsidRPr="003E3B01">
        <w:rPr>
          <w:i/>
          <w:color w:val="000000" w:themeColor="text1"/>
          <w:szCs w:val="22"/>
          <w:lang w:val="en-AU"/>
        </w:rPr>
        <w:t>salina</w:t>
      </w:r>
      <w:proofErr w:type="spellEnd"/>
    </w:p>
    <w:p w14:paraId="66BB4578" w14:textId="77777777" w:rsidR="00750DEC" w:rsidRPr="003E3B01" w:rsidRDefault="00750DEC" w:rsidP="00750DEC">
      <w:pPr>
        <w:rPr>
          <w:color w:val="000000" w:themeColor="text1"/>
          <w:szCs w:val="22"/>
          <w:lang w:val="en-AU"/>
        </w:rPr>
      </w:pPr>
    </w:p>
    <w:p w14:paraId="76D6CAF5" w14:textId="2AB3230D" w:rsidR="0028366E" w:rsidRDefault="00750DEC" w:rsidP="00647936">
      <w:pPr>
        <w:pStyle w:val="Default"/>
        <w:rPr>
          <w:rFonts w:ascii="Arial" w:hAnsi="Arial" w:cs="Arial"/>
          <w:sz w:val="22"/>
          <w:szCs w:val="22"/>
        </w:rPr>
      </w:pPr>
      <w:r w:rsidRPr="00A91DB3">
        <w:rPr>
          <w:rFonts w:ascii="Arial" w:hAnsi="Arial" w:cs="Arial"/>
          <w:color w:val="000000" w:themeColor="text1"/>
          <w:sz w:val="22"/>
          <w:szCs w:val="22"/>
          <w:lang w:val="en-AU"/>
        </w:rPr>
        <w:t>In addition, DHA canola also contains the phosphinothricin N-acetyltransferase (</w:t>
      </w:r>
      <w:r w:rsidRPr="00A91DB3">
        <w:rPr>
          <w:rFonts w:ascii="Arial" w:hAnsi="Arial" w:cs="Arial"/>
          <w:i/>
          <w:color w:val="000000" w:themeColor="text1"/>
          <w:sz w:val="22"/>
          <w:szCs w:val="22"/>
          <w:lang w:val="en-AU"/>
        </w:rPr>
        <w:t>pat</w:t>
      </w:r>
      <w:r w:rsidRPr="00A91DB3">
        <w:rPr>
          <w:rFonts w:ascii="Arial" w:hAnsi="Arial" w:cs="Arial"/>
          <w:color w:val="000000" w:themeColor="text1"/>
          <w:sz w:val="22"/>
          <w:szCs w:val="22"/>
          <w:lang w:val="en-AU"/>
        </w:rPr>
        <w:t xml:space="preserve">) gene from </w:t>
      </w:r>
      <w:r w:rsidRPr="00A91DB3">
        <w:rPr>
          <w:rFonts w:ascii="Arial" w:hAnsi="Arial" w:cs="Arial"/>
          <w:i/>
          <w:color w:val="000000" w:themeColor="text1"/>
          <w:sz w:val="22"/>
          <w:szCs w:val="22"/>
          <w:lang w:val="en-AU"/>
        </w:rPr>
        <w:t xml:space="preserve">Streptomyces </w:t>
      </w:r>
      <w:proofErr w:type="spellStart"/>
      <w:r w:rsidRPr="00A91DB3">
        <w:rPr>
          <w:rFonts w:ascii="Arial" w:hAnsi="Arial" w:cs="Arial"/>
          <w:i/>
          <w:color w:val="000000" w:themeColor="text1"/>
          <w:sz w:val="22"/>
          <w:szCs w:val="22"/>
          <w:lang w:val="en-AU"/>
        </w:rPr>
        <w:t>viridochromogenes</w:t>
      </w:r>
      <w:proofErr w:type="spellEnd"/>
      <w:r w:rsidRPr="00A91DB3">
        <w:rPr>
          <w:rFonts w:ascii="Arial" w:hAnsi="Arial" w:cs="Arial"/>
          <w:color w:val="000000" w:themeColor="text1"/>
          <w:sz w:val="22"/>
          <w:szCs w:val="22"/>
          <w:lang w:val="en-AU"/>
        </w:rPr>
        <w:t xml:space="preserve"> that confers tolerance to the herbicide phosphinothricin – also known as glufosinate ammonium (glufosinate). The </w:t>
      </w:r>
      <w:r w:rsidRPr="00A91DB3">
        <w:rPr>
          <w:rFonts w:ascii="Arial" w:hAnsi="Arial" w:cs="Arial"/>
          <w:bCs/>
          <w:color w:val="000000" w:themeColor="text1"/>
          <w:kern w:val="36"/>
          <w:sz w:val="22"/>
          <w:szCs w:val="22"/>
        </w:rPr>
        <w:t>glufosinate tolerance w</w:t>
      </w:r>
      <w:r w:rsidR="002B667B" w:rsidRPr="00A91DB3">
        <w:rPr>
          <w:rFonts w:ascii="Arial" w:hAnsi="Arial" w:cs="Arial"/>
          <w:bCs/>
          <w:color w:val="000000" w:themeColor="text1"/>
          <w:kern w:val="36"/>
          <w:sz w:val="22"/>
          <w:szCs w:val="22"/>
        </w:rPr>
        <w:t>as</w:t>
      </w:r>
      <w:r w:rsidRPr="00A91DB3">
        <w:rPr>
          <w:rFonts w:ascii="Arial" w:hAnsi="Arial" w:cs="Arial"/>
          <w:bCs/>
          <w:color w:val="000000" w:themeColor="text1"/>
          <w:kern w:val="36"/>
          <w:sz w:val="22"/>
          <w:szCs w:val="22"/>
        </w:rPr>
        <w:t xml:space="preserve"> used </w:t>
      </w:r>
      <w:r w:rsidR="001D128A">
        <w:rPr>
          <w:rFonts w:ascii="Arial" w:hAnsi="Arial" w:cs="Arial"/>
          <w:bCs/>
          <w:color w:val="000000" w:themeColor="text1"/>
          <w:kern w:val="36"/>
          <w:sz w:val="22"/>
          <w:szCs w:val="22"/>
        </w:rPr>
        <w:t xml:space="preserve">to select </w:t>
      </w:r>
      <w:r w:rsidRPr="00A91DB3">
        <w:rPr>
          <w:rFonts w:ascii="Arial" w:hAnsi="Arial" w:cs="Arial"/>
          <w:bCs/>
          <w:color w:val="000000" w:themeColor="text1"/>
          <w:kern w:val="36"/>
          <w:sz w:val="22"/>
          <w:szCs w:val="22"/>
        </w:rPr>
        <w:t>putative transformants during the transformation stage and was not subsequently selected for breeding of the final DHA canola line.</w:t>
      </w:r>
      <w:r w:rsidR="00647936" w:rsidRPr="00A91DB3">
        <w:rPr>
          <w:rFonts w:ascii="Arial" w:hAnsi="Arial" w:cs="Arial"/>
          <w:sz w:val="22"/>
          <w:szCs w:val="22"/>
        </w:rPr>
        <w:t xml:space="preserve"> </w:t>
      </w:r>
    </w:p>
    <w:p w14:paraId="5354BBB3" w14:textId="77777777" w:rsidR="0028366E" w:rsidRDefault="0028366E" w:rsidP="00647936">
      <w:pPr>
        <w:pStyle w:val="Default"/>
        <w:rPr>
          <w:rFonts w:ascii="Arial" w:hAnsi="Arial" w:cs="Arial"/>
          <w:sz w:val="22"/>
          <w:szCs w:val="22"/>
        </w:rPr>
      </w:pPr>
    </w:p>
    <w:p w14:paraId="498F4CEC" w14:textId="6C8096A1" w:rsidR="00647936" w:rsidRPr="00A91DB3" w:rsidRDefault="00647936" w:rsidP="00647936">
      <w:pPr>
        <w:pStyle w:val="Default"/>
        <w:rPr>
          <w:rFonts w:ascii="Arial" w:hAnsi="Arial" w:cs="Arial"/>
          <w:sz w:val="22"/>
          <w:szCs w:val="22"/>
        </w:rPr>
      </w:pPr>
      <w:r w:rsidRPr="00A91DB3">
        <w:rPr>
          <w:rFonts w:ascii="Arial" w:hAnsi="Arial" w:cs="Arial"/>
          <w:sz w:val="22"/>
          <w:szCs w:val="22"/>
        </w:rPr>
        <w:t>The Applicant has indicated oil from DHA canola may be used as an alternate source of n-3 LC PUFAs in existing food ingredient markets for fish oils or established omega</w:t>
      </w:r>
      <w:r w:rsidR="00FA38A3">
        <w:rPr>
          <w:rFonts w:ascii="Arial" w:hAnsi="Arial" w:cs="Arial"/>
          <w:sz w:val="22"/>
          <w:szCs w:val="22"/>
        </w:rPr>
        <w:t>-</w:t>
      </w:r>
      <w:r w:rsidRPr="00A91DB3">
        <w:rPr>
          <w:rFonts w:ascii="Arial" w:hAnsi="Arial" w:cs="Arial"/>
          <w:sz w:val="22"/>
          <w:szCs w:val="22"/>
        </w:rPr>
        <w:t>3 markets. Possible target product examples include:</w:t>
      </w:r>
    </w:p>
    <w:p w14:paraId="1986D839" w14:textId="77777777" w:rsidR="00647936" w:rsidRPr="00A91DB3" w:rsidRDefault="00647936" w:rsidP="00647936">
      <w:pPr>
        <w:pStyle w:val="Default"/>
        <w:rPr>
          <w:rFonts w:ascii="Arial" w:hAnsi="Arial" w:cs="Arial"/>
          <w:sz w:val="22"/>
          <w:szCs w:val="22"/>
        </w:rPr>
      </w:pPr>
    </w:p>
    <w:p w14:paraId="6521B80E" w14:textId="35546B70" w:rsidR="00647936" w:rsidRPr="00A91DB3" w:rsidRDefault="00647936" w:rsidP="00556B0D">
      <w:pPr>
        <w:pStyle w:val="Default"/>
        <w:numPr>
          <w:ilvl w:val="0"/>
          <w:numId w:val="15"/>
        </w:numPr>
        <w:ind w:left="567" w:hanging="567"/>
        <w:rPr>
          <w:rFonts w:ascii="Arial" w:hAnsi="Arial" w:cs="Arial"/>
          <w:sz w:val="22"/>
          <w:szCs w:val="22"/>
        </w:rPr>
      </w:pPr>
      <w:r w:rsidRPr="00A91DB3">
        <w:rPr>
          <w:rFonts w:ascii="Arial" w:hAnsi="Arial" w:cs="Arial"/>
          <w:sz w:val="22"/>
          <w:szCs w:val="22"/>
        </w:rPr>
        <w:t xml:space="preserve">dairy products enriched with fish oil: milk (flavoured or plain), cream cheese products, yoghurts, custard desserts and dairy alternatives (soy milk, soy cheese) </w:t>
      </w:r>
    </w:p>
    <w:p w14:paraId="599ED783" w14:textId="714F6C1F" w:rsidR="00647936" w:rsidRPr="00A91DB3" w:rsidRDefault="00647936" w:rsidP="00556B0D">
      <w:pPr>
        <w:pStyle w:val="Default"/>
        <w:numPr>
          <w:ilvl w:val="0"/>
          <w:numId w:val="15"/>
        </w:numPr>
        <w:ind w:left="567" w:hanging="567"/>
        <w:rPr>
          <w:rFonts w:ascii="Arial" w:hAnsi="Arial" w:cs="Arial"/>
          <w:sz w:val="22"/>
          <w:szCs w:val="22"/>
        </w:rPr>
      </w:pPr>
      <w:r w:rsidRPr="00A91DB3">
        <w:rPr>
          <w:rFonts w:ascii="Arial" w:hAnsi="Arial" w:cs="Arial"/>
          <w:sz w:val="22"/>
          <w:szCs w:val="22"/>
        </w:rPr>
        <w:t>bread and cereals enriched with fish oil or omega</w:t>
      </w:r>
      <w:r w:rsidR="00FA38A3">
        <w:rPr>
          <w:rFonts w:ascii="Arial" w:hAnsi="Arial" w:cs="Arial"/>
          <w:sz w:val="22"/>
          <w:szCs w:val="22"/>
        </w:rPr>
        <w:t>-</w:t>
      </w:r>
      <w:r w:rsidRPr="00A91DB3">
        <w:rPr>
          <w:rFonts w:ascii="Arial" w:hAnsi="Arial" w:cs="Arial"/>
          <w:sz w:val="22"/>
          <w:szCs w:val="22"/>
        </w:rPr>
        <w:t xml:space="preserve">3: muesli, breakfast cereal, cereal bars, white bread, multigrain bread </w:t>
      </w:r>
    </w:p>
    <w:p w14:paraId="3DBEA20B" w14:textId="4DFB6C57" w:rsidR="00647936" w:rsidRPr="00A91DB3" w:rsidRDefault="00647936" w:rsidP="00556B0D">
      <w:pPr>
        <w:pStyle w:val="Default"/>
        <w:numPr>
          <w:ilvl w:val="0"/>
          <w:numId w:val="15"/>
        </w:numPr>
        <w:ind w:left="567" w:hanging="567"/>
        <w:rPr>
          <w:rFonts w:ascii="Arial" w:hAnsi="Arial" w:cs="Arial"/>
          <w:sz w:val="22"/>
          <w:szCs w:val="22"/>
        </w:rPr>
      </w:pPr>
      <w:r w:rsidRPr="00A91DB3">
        <w:rPr>
          <w:rFonts w:ascii="Arial" w:hAnsi="Arial" w:cs="Arial"/>
          <w:sz w:val="22"/>
          <w:szCs w:val="22"/>
        </w:rPr>
        <w:t>spreads, condiments and sauces containing omega</w:t>
      </w:r>
      <w:r w:rsidR="00FA38A3">
        <w:rPr>
          <w:rFonts w:ascii="Arial" w:hAnsi="Arial" w:cs="Arial"/>
          <w:sz w:val="22"/>
          <w:szCs w:val="22"/>
        </w:rPr>
        <w:t>-</w:t>
      </w:r>
      <w:r w:rsidRPr="00A91DB3">
        <w:rPr>
          <w:rFonts w:ascii="Arial" w:hAnsi="Arial" w:cs="Arial"/>
          <w:sz w:val="22"/>
          <w:szCs w:val="22"/>
        </w:rPr>
        <w:t>3: margarine (or margarine blends), salad dressings, mayonnaise, dips (</w:t>
      </w:r>
      <w:r w:rsidR="001D128A">
        <w:rPr>
          <w:rFonts w:ascii="Arial" w:hAnsi="Arial" w:cs="Arial"/>
          <w:sz w:val="22"/>
          <w:szCs w:val="22"/>
        </w:rPr>
        <w:t>e.g.</w:t>
      </w:r>
      <w:r w:rsidRPr="00A91DB3">
        <w:rPr>
          <w:rFonts w:ascii="Arial" w:hAnsi="Arial" w:cs="Arial"/>
          <w:sz w:val="22"/>
          <w:szCs w:val="22"/>
        </w:rPr>
        <w:t xml:space="preserve"> hummus) </w:t>
      </w:r>
    </w:p>
    <w:p w14:paraId="555B5796" w14:textId="77777777" w:rsidR="00647936" w:rsidRPr="00A91DB3" w:rsidRDefault="00647936" w:rsidP="00556B0D">
      <w:pPr>
        <w:pStyle w:val="Default"/>
        <w:numPr>
          <w:ilvl w:val="0"/>
          <w:numId w:val="15"/>
        </w:numPr>
        <w:ind w:left="567" w:hanging="567"/>
        <w:rPr>
          <w:rFonts w:ascii="Arial" w:hAnsi="Arial" w:cs="Arial"/>
          <w:sz w:val="22"/>
          <w:szCs w:val="22"/>
        </w:rPr>
      </w:pPr>
      <w:proofErr w:type="gramStart"/>
      <w:r w:rsidRPr="00A91DB3">
        <w:rPr>
          <w:rFonts w:ascii="Arial" w:hAnsi="Arial" w:cs="Arial"/>
          <w:sz w:val="22"/>
          <w:szCs w:val="22"/>
        </w:rPr>
        <w:t>tinned</w:t>
      </w:r>
      <w:proofErr w:type="gramEnd"/>
      <w:r w:rsidRPr="00A91DB3">
        <w:rPr>
          <w:rFonts w:ascii="Arial" w:hAnsi="Arial" w:cs="Arial"/>
          <w:sz w:val="22"/>
          <w:szCs w:val="22"/>
        </w:rPr>
        <w:t xml:space="preserve"> fish in oil: tinned tuna chunks, tinned tuna sandwich filling (plain or flavoured); tinned bean mix. </w:t>
      </w:r>
    </w:p>
    <w:p w14:paraId="2C3BFC4C" w14:textId="77777777" w:rsidR="00647936" w:rsidRPr="00A91DB3" w:rsidRDefault="00647936" w:rsidP="00647936">
      <w:pPr>
        <w:rPr>
          <w:rFonts w:cs="Arial"/>
          <w:color w:val="000000" w:themeColor="text1"/>
          <w:szCs w:val="22"/>
        </w:rPr>
      </w:pPr>
    </w:p>
    <w:p w14:paraId="144AAB2E" w14:textId="57053FDA" w:rsidR="00647936" w:rsidRPr="00A91DB3" w:rsidRDefault="001D128A" w:rsidP="00647936">
      <w:pPr>
        <w:rPr>
          <w:rFonts w:cs="Arial"/>
          <w:color w:val="000000" w:themeColor="text1"/>
          <w:szCs w:val="22"/>
        </w:rPr>
      </w:pPr>
      <w:r>
        <w:rPr>
          <w:rFonts w:cs="Arial"/>
          <w:szCs w:val="22"/>
        </w:rPr>
        <w:t>D</w:t>
      </w:r>
      <w:r w:rsidR="00647936" w:rsidRPr="00A91DB3">
        <w:rPr>
          <w:rFonts w:cs="Arial"/>
          <w:szCs w:val="22"/>
        </w:rPr>
        <w:t xml:space="preserve">HA oil could </w:t>
      </w:r>
      <w:r>
        <w:rPr>
          <w:rFonts w:cs="Arial"/>
          <w:szCs w:val="22"/>
        </w:rPr>
        <w:t xml:space="preserve">be used in the future </w:t>
      </w:r>
      <w:r w:rsidR="00647936" w:rsidRPr="00A91DB3">
        <w:rPr>
          <w:rFonts w:cs="Arial"/>
          <w:szCs w:val="22"/>
        </w:rPr>
        <w:t>with new processing or micro-encapsulation/micro-emulsion</w:t>
      </w:r>
      <w:r>
        <w:rPr>
          <w:rFonts w:cs="Arial"/>
          <w:szCs w:val="22"/>
        </w:rPr>
        <w:t xml:space="preserve"> technologies</w:t>
      </w:r>
      <w:r w:rsidR="00647936" w:rsidRPr="00A91DB3">
        <w:rPr>
          <w:rFonts w:cs="Arial"/>
          <w:szCs w:val="22"/>
        </w:rPr>
        <w:t>. These possibilities could include foods like frozen/chilled meals, juice/smoothies or soups.</w:t>
      </w:r>
    </w:p>
    <w:p w14:paraId="396506CD" w14:textId="5FCAA6B4" w:rsidR="00750DEC" w:rsidRPr="007B144E" w:rsidRDefault="00750DEC" w:rsidP="00750DEC">
      <w:pPr>
        <w:rPr>
          <w:color w:val="000000" w:themeColor="text1"/>
          <w:szCs w:val="22"/>
        </w:rPr>
      </w:pPr>
    </w:p>
    <w:p w14:paraId="545D7C10" w14:textId="77777777" w:rsidR="00556B0D" w:rsidRDefault="00556B0D">
      <w:pPr>
        <w:widowControl/>
        <w:rPr>
          <w:rFonts w:cs="Arial"/>
          <w:b/>
          <w:bCs/>
          <w:sz w:val="28"/>
          <w:szCs w:val="22"/>
          <w:lang w:bidi="ar-SA"/>
        </w:rPr>
      </w:pPr>
      <w:bookmarkStart w:id="17" w:name="_Toc300761892"/>
      <w:bookmarkStart w:id="18" w:name="_Toc300933421"/>
      <w:r>
        <w:br w:type="page"/>
      </w:r>
    </w:p>
    <w:p w14:paraId="73C2CA20" w14:textId="664DDE7E" w:rsidR="0053464E" w:rsidRPr="0053464E" w:rsidRDefault="00F33BB8" w:rsidP="00A56E34">
      <w:pPr>
        <w:pStyle w:val="Heading2"/>
      </w:pPr>
      <w:bookmarkStart w:id="19" w:name="_Toc490726025"/>
      <w:r>
        <w:lastRenderedPageBreak/>
        <w:t>1</w:t>
      </w:r>
      <w:r w:rsidR="00A56E34">
        <w:t>.3</w:t>
      </w:r>
      <w:r w:rsidR="00A56E34">
        <w:tab/>
        <w:t>The c</w:t>
      </w:r>
      <w:r w:rsidR="0053464E" w:rsidRPr="0053464E">
        <w:t xml:space="preserve">urrent </w:t>
      </w:r>
      <w:r w:rsidR="00E72650">
        <w:t>s</w:t>
      </w:r>
      <w:r w:rsidR="0053464E" w:rsidRPr="0053464E">
        <w:t>tandard</w:t>
      </w:r>
      <w:bookmarkEnd w:id="17"/>
      <w:bookmarkEnd w:id="18"/>
      <w:r w:rsidR="00750DEC">
        <w:t>s</w:t>
      </w:r>
      <w:bookmarkEnd w:id="19"/>
    </w:p>
    <w:p w14:paraId="12D11DCC" w14:textId="77777777" w:rsidR="00750DEC" w:rsidRPr="00107E06" w:rsidRDefault="00750DEC" w:rsidP="00750DEC">
      <w:pPr>
        <w:rPr>
          <w:color w:val="000000" w:themeColor="text1"/>
        </w:rPr>
      </w:pPr>
      <w:bookmarkStart w:id="20" w:name="_Toc286391007"/>
      <w:bookmarkStart w:id="21" w:name="_Toc300933423"/>
      <w:bookmarkStart w:id="22" w:name="_Toc175381432"/>
      <w:r w:rsidRPr="00107E06">
        <w:rPr>
          <w:color w:val="000000" w:themeColor="text1"/>
        </w:rPr>
        <w:t xml:space="preserve">Pre-market approval is necessary before a GM food may enter the Australian and New Zealand food supply. Approval of such foods is contingent on completion of a comprehensive pre-market safety assessment. </w:t>
      </w:r>
      <w:r w:rsidRPr="00107E06" w:rsidDel="00C41B34">
        <w:rPr>
          <w:color w:val="000000" w:themeColor="text1"/>
        </w:rPr>
        <w:t>Standard 1.5.2</w:t>
      </w:r>
      <w:r w:rsidRPr="00107E06">
        <w:rPr>
          <w:color w:val="000000" w:themeColor="text1"/>
        </w:rPr>
        <w:t xml:space="preserve"> sets out the permission and conditions for the sale and use of food produced using gene technology (a GM food). Foods that have been assessed and approved are listed in Schedule 26. </w:t>
      </w:r>
    </w:p>
    <w:p w14:paraId="7B70CB6F" w14:textId="77777777" w:rsidR="00750DEC" w:rsidRPr="00107E06" w:rsidRDefault="00750DEC" w:rsidP="00750DEC">
      <w:pPr>
        <w:rPr>
          <w:color w:val="000000" w:themeColor="text1"/>
        </w:rPr>
      </w:pPr>
    </w:p>
    <w:p w14:paraId="31396799" w14:textId="62F577E9" w:rsidR="00750DEC" w:rsidRDefault="00D87AF4" w:rsidP="00750DEC">
      <w:pPr>
        <w:rPr>
          <w:color w:val="000000" w:themeColor="text1"/>
        </w:rPr>
      </w:pPr>
      <w:r>
        <w:rPr>
          <w:color w:val="000000" w:themeColor="text1"/>
        </w:rPr>
        <w:t xml:space="preserve">Section 1.5.2—4 of </w:t>
      </w:r>
      <w:r w:rsidR="00750DEC" w:rsidRPr="00107E06">
        <w:rPr>
          <w:color w:val="000000" w:themeColor="text1"/>
        </w:rPr>
        <w:t xml:space="preserve">Standard 1.5.2 </w:t>
      </w:r>
      <w:r w:rsidR="00750DEC">
        <w:rPr>
          <w:color w:val="000000" w:themeColor="text1"/>
        </w:rPr>
        <w:t xml:space="preserve">also </w:t>
      </w:r>
      <w:r w:rsidR="00750DEC" w:rsidRPr="00107E06">
        <w:rPr>
          <w:color w:val="000000" w:themeColor="text1"/>
        </w:rPr>
        <w:t xml:space="preserve">contains specific labelling provisions for approved GM foods. </w:t>
      </w:r>
      <w:r w:rsidR="003F16E3">
        <w:rPr>
          <w:color w:val="000000" w:themeColor="text1"/>
        </w:rPr>
        <w:t>Subject to certain exceptions</w:t>
      </w:r>
      <w:r w:rsidR="00B20E17">
        <w:rPr>
          <w:color w:val="000000" w:themeColor="text1"/>
        </w:rPr>
        <w:t xml:space="preserve"> listed below</w:t>
      </w:r>
      <w:r w:rsidR="003F16E3">
        <w:rPr>
          <w:color w:val="000000" w:themeColor="text1"/>
        </w:rPr>
        <w:t xml:space="preserve">, </w:t>
      </w:r>
      <w:r w:rsidR="00750DEC" w:rsidRPr="00107E06">
        <w:rPr>
          <w:color w:val="000000" w:themeColor="text1"/>
        </w:rPr>
        <w:t xml:space="preserve">GM foods and ingredients (including food additives and processing aids from GM sources) must be identified on labels with the words ‘genetically modified’, if novel DNA or novel protein (as defined in Standard 1.5.2) is present in the food. Foods listed in subsections S26—3(2) and (3) of Schedule 26 must also be labelled with the words ‘genetically modified’, as well as any other additional labelling required by the Schedule, regardless of the presence of novel DNA or novel protein in the foods. </w:t>
      </w:r>
      <w:r w:rsidR="00FD629B">
        <w:rPr>
          <w:color w:val="000000" w:themeColor="text1"/>
        </w:rPr>
        <w:t>These f</w:t>
      </w:r>
      <w:r w:rsidR="00750DEC" w:rsidRPr="00107E06">
        <w:rPr>
          <w:color w:val="000000" w:themeColor="text1"/>
        </w:rPr>
        <w:t xml:space="preserve">oods </w:t>
      </w:r>
      <w:r w:rsidR="00750DEC">
        <w:rPr>
          <w:color w:val="000000" w:themeColor="text1"/>
        </w:rPr>
        <w:t xml:space="preserve">are considered to </w:t>
      </w:r>
      <w:r w:rsidR="00750DEC" w:rsidRPr="00107E06">
        <w:rPr>
          <w:color w:val="000000" w:themeColor="text1"/>
        </w:rPr>
        <w:t>have an altered characteristic, such as an altered composition or nutritional profile, when compared to the existing counterpart food that is not produced using gene technology.</w:t>
      </w:r>
    </w:p>
    <w:p w14:paraId="106E5D7E" w14:textId="77087200" w:rsidR="008B1260" w:rsidRDefault="008B1260" w:rsidP="00750DEC">
      <w:pPr>
        <w:rPr>
          <w:color w:val="000000" w:themeColor="text1"/>
        </w:rPr>
      </w:pPr>
    </w:p>
    <w:p w14:paraId="3AD5D2DC" w14:textId="746C1247" w:rsidR="00D87AF4" w:rsidRDefault="00D87AF4" w:rsidP="00D87AF4">
      <w:r w:rsidRPr="00D87AF4">
        <w:t xml:space="preserve">The requirement to label food as ‘genetically modified’ does not apply to GM food that: </w:t>
      </w:r>
    </w:p>
    <w:p w14:paraId="74B192F2" w14:textId="77777777" w:rsidR="0028366E" w:rsidRPr="00D87AF4" w:rsidRDefault="0028366E" w:rsidP="00D87AF4"/>
    <w:p w14:paraId="38072102" w14:textId="7E0BABCB" w:rsidR="00D87AF4" w:rsidRPr="00D87AF4" w:rsidRDefault="00D87AF4" w:rsidP="00D87AF4">
      <w:pPr>
        <w:pStyle w:val="FSBullet1"/>
      </w:pPr>
      <w:r w:rsidRPr="00D87AF4">
        <w:t>has been highly refined (other than food that has been altered), where the effect of the refining process is to remove novel DNA or novel protein</w:t>
      </w:r>
    </w:p>
    <w:p w14:paraId="048A1076" w14:textId="29C9A91F" w:rsidR="00D87AF4" w:rsidRPr="00D87AF4" w:rsidRDefault="00AC64BD" w:rsidP="00D87AF4">
      <w:pPr>
        <w:pStyle w:val="FSBullet1"/>
      </w:pPr>
      <w:r>
        <w:t>is a</w:t>
      </w:r>
      <w:r w:rsidR="00D87AF4" w:rsidRPr="00D87AF4">
        <w:t xml:space="preserve"> substance used as a processing aid or a food additive, where novel DNA or novel protein from the substance does not remain present in the final food</w:t>
      </w:r>
    </w:p>
    <w:p w14:paraId="3FA64453" w14:textId="5AAA0138" w:rsidR="00D87AF4" w:rsidRPr="00D87AF4" w:rsidRDefault="00D87AF4" w:rsidP="00D87AF4">
      <w:pPr>
        <w:pStyle w:val="FSBullet1"/>
      </w:pPr>
      <w:proofErr w:type="gramStart"/>
      <w:r w:rsidRPr="00D87AF4">
        <w:t>is</w:t>
      </w:r>
      <w:proofErr w:type="gramEnd"/>
      <w:r w:rsidRPr="00D87AF4">
        <w:t xml:space="preserve"> a flavouring substance present in the food in a concentration of no more than 1 g/kg (0.1%)</w:t>
      </w:r>
    </w:p>
    <w:p w14:paraId="68980C9A" w14:textId="48F92226" w:rsidR="00D87AF4" w:rsidRPr="00D87AF4" w:rsidRDefault="00D87AF4" w:rsidP="00D87AF4">
      <w:pPr>
        <w:pStyle w:val="FSBullet1"/>
      </w:pPr>
      <w:r w:rsidRPr="00D87AF4">
        <w:t xml:space="preserve">is intended for immediate consumption </w:t>
      </w:r>
      <w:r w:rsidR="001D128A">
        <w:t xml:space="preserve">and </w:t>
      </w:r>
      <w:r w:rsidRPr="00D87AF4">
        <w:t>which is prepared and sold from food premises and vending machines, including restaurants, take away outlets, caterers, or self-catering institutions</w:t>
      </w:r>
    </w:p>
    <w:p w14:paraId="2C2851BA" w14:textId="77777777" w:rsidR="00D87AF4" w:rsidRPr="00D87AF4" w:rsidRDefault="00D87AF4" w:rsidP="00D87AF4">
      <w:pPr>
        <w:pStyle w:val="FSBullet1"/>
      </w:pPr>
      <w:proofErr w:type="gramStart"/>
      <w:r w:rsidRPr="00D87AF4">
        <w:t>is</w:t>
      </w:r>
      <w:proofErr w:type="gramEnd"/>
      <w:r w:rsidRPr="00D87AF4">
        <w:t xml:space="preserve"> unintentionally present in the food in an amount of no more than 10 g/kg (or 1%) of each ingredient. </w:t>
      </w:r>
    </w:p>
    <w:p w14:paraId="21D427FC" w14:textId="77777777" w:rsidR="00D87AF4" w:rsidRPr="00D87AF4" w:rsidRDefault="00D87AF4" w:rsidP="00D87AF4">
      <w:pPr>
        <w:rPr>
          <w:lang w:bidi="ar-SA"/>
        </w:rPr>
      </w:pPr>
    </w:p>
    <w:p w14:paraId="630EB919" w14:textId="73D3D162" w:rsidR="00D87AF4" w:rsidRPr="00D87AF4" w:rsidRDefault="00D87AF4" w:rsidP="00D87AF4">
      <w:r w:rsidRPr="00D87AF4">
        <w:t>If the GM food for sale is not required to bear a</w:t>
      </w:r>
      <w:r w:rsidR="00DB5082">
        <w:t xml:space="preserve"> label</w:t>
      </w:r>
      <w:r w:rsidRPr="00D87AF4">
        <w:t>, the labelling information in section 1.5.2—4 must accompany the food or be displayed in connection with the display of the food (in accordance with subsections 1.2.1—9(2) and (3) of Standard 1.2.1 (Requirements to have labels or otherwise provide information)).</w:t>
      </w:r>
    </w:p>
    <w:p w14:paraId="3E981CAF" w14:textId="77777777" w:rsidR="00D87AF4" w:rsidRDefault="00D87AF4" w:rsidP="008B1260">
      <w:pPr>
        <w:widowControl/>
      </w:pPr>
    </w:p>
    <w:p w14:paraId="50C6A701" w14:textId="688A13C3" w:rsidR="008B1260" w:rsidRPr="00B21422" w:rsidRDefault="008B1260" w:rsidP="008B1260">
      <w:pPr>
        <w:widowControl/>
      </w:pPr>
      <w:r w:rsidRPr="00B21422">
        <w:t>Standard 1.5.1</w:t>
      </w:r>
      <w:r w:rsidRPr="00B21422">
        <w:rPr>
          <w:i/>
        </w:rPr>
        <w:t xml:space="preserve"> – </w:t>
      </w:r>
      <w:r w:rsidRPr="00B21422">
        <w:t>Novel foods and Schedule</w:t>
      </w:r>
      <w:r>
        <w:t xml:space="preserve"> </w:t>
      </w:r>
      <w:r w:rsidRPr="00B21422">
        <w:t>25</w:t>
      </w:r>
      <w:r w:rsidRPr="00B21422">
        <w:rPr>
          <w:i/>
        </w:rPr>
        <w:t xml:space="preserve"> – </w:t>
      </w:r>
      <w:r w:rsidRPr="00B21422">
        <w:t>Permitted novel foods</w:t>
      </w:r>
      <w:r w:rsidR="00CE7623">
        <w:t>,</w:t>
      </w:r>
      <w:r w:rsidRPr="00B21422">
        <w:rPr>
          <w:i/>
        </w:rPr>
        <w:t xml:space="preserve"> </w:t>
      </w:r>
      <w:r w:rsidRPr="00B21422">
        <w:t xml:space="preserve">contain permissions for the sale of novel foods that have been assessed and approved by FSANZ. </w:t>
      </w:r>
      <w:r>
        <w:t>S</w:t>
      </w:r>
      <w:r w:rsidRPr="00B21422">
        <w:t xml:space="preserve">everal DHA-rich oils derived from different marine micro-algae species </w:t>
      </w:r>
      <w:r w:rsidRPr="00AE2688">
        <w:t>are permitted</w:t>
      </w:r>
      <w:r w:rsidR="00CD03F7">
        <w:t xml:space="preserve"> </w:t>
      </w:r>
      <w:r w:rsidRPr="00AE2688">
        <w:t>for use in all foods</w:t>
      </w:r>
      <w:r w:rsidR="00CD03F7">
        <w:t xml:space="preserve"> and only one is permitted </w:t>
      </w:r>
      <w:r w:rsidR="007F2E3B">
        <w:t xml:space="preserve">in </w:t>
      </w:r>
      <w:r w:rsidR="0046069B">
        <w:t xml:space="preserve">infant formula </w:t>
      </w:r>
      <w:r w:rsidR="007F2E3B">
        <w:t>products</w:t>
      </w:r>
      <w:r w:rsidR="00CD03F7">
        <w:t>.</w:t>
      </w:r>
    </w:p>
    <w:p w14:paraId="70019FD0" w14:textId="77777777" w:rsidR="008B1260" w:rsidRPr="00B21422" w:rsidRDefault="008B1260" w:rsidP="008B1260">
      <w:pPr>
        <w:widowControl/>
        <w:rPr>
          <w:lang w:bidi="ar-SA"/>
        </w:rPr>
      </w:pPr>
    </w:p>
    <w:p w14:paraId="095CCF39" w14:textId="46C0C25E" w:rsidR="008B1260" w:rsidRDefault="008B1260" w:rsidP="008B1260">
      <w:pPr>
        <w:widowControl/>
      </w:pPr>
      <w:r w:rsidRPr="00B21422">
        <w:t>Schedule 3</w:t>
      </w:r>
      <w:r w:rsidRPr="00B21422">
        <w:rPr>
          <w:i/>
        </w:rPr>
        <w:t xml:space="preserve"> – </w:t>
      </w:r>
      <w:r w:rsidRPr="00B21422">
        <w:t>Identity and purity,</w:t>
      </w:r>
      <w:r w:rsidRPr="00B21422">
        <w:rPr>
          <w:i/>
        </w:rPr>
        <w:t xml:space="preserve"> </w:t>
      </w:r>
      <w:r w:rsidRPr="00B21422">
        <w:t xml:space="preserve">includes specifications for the following oils derived from marine micro-algae species rich in DHA:  </w:t>
      </w:r>
    </w:p>
    <w:p w14:paraId="48867D52" w14:textId="77777777" w:rsidR="008B1260" w:rsidRPr="00B21422" w:rsidRDefault="008B1260" w:rsidP="008B1260">
      <w:pPr>
        <w:widowControl/>
      </w:pPr>
    </w:p>
    <w:p w14:paraId="6A8294CB" w14:textId="77777777" w:rsidR="008B1260" w:rsidRPr="00B21422" w:rsidRDefault="008B1260" w:rsidP="008B1260">
      <w:pPr>
        <w:pStyle w:val="FSBullet1"/>
      </w:pPr>
      <w:r w:rsidRPr="00B21422">
        <w:t xml:space="preserve">oil derived from the algae </w:t>
      </w:r>
      <w:proofErr w:type="spellStart"/>
      <w:r w:rsidRPr="00B21422">
        <w:rPr>
          <w:i/>
        </w:rPr>
        <w:t>Crypthecodinium</w:t>
      </w:r>
      <w:proofErr w:type="spellEnd"/>
      <w:r w:rsidRPr="00B21422">
        <w:rPr>
          <w:i/>
        </w:rPr>
        <w:t xml:space="preserve"> </w:t>
      </w:r>
      <w:proofErr w:type="spellStart"/>
      <w:r w:rsidRPr="00B21422">
        <w:rPr>
          <w:i/>
        </w:rPr>
        <w:t>cohnii</w:t>
      </w:r>
      <w:proofErr w:type="spellEnd"/>
      <w:r w:rsidRPr="00B21422">
        <w:t xml:space="preserve"> rich in docosahexaenoic acid (DHA)</w:t>
      </w:r>
    </w:p>
    <w:p w14:paraId="2E932011" w14:textId="172E9F19" w:rsidR="008B1260" w:rsidRPr="00B21422" w:rsidRDefault="008B1260" w:rsidP="008B1260">
      <w:pPr>
        <w:pStyle w:val="FSBullet1"/>
      </w:pPr>
      <w:r w:rsidRPr="00B21422">
        <w:t>oil derived from marine micro-algae (</w:t>
      </w:r>
      <w:proofErr w:type="spellStart"/>
      <w:r w:rsidRPr="00B21422">
        <w:rPr>
          <w:i/>
        </w:rPr>
        <w:t>Schizochytrium</w:t>
      </w:r>
      <w:proofErr w:type="spellEnd"/>
      <w:r w:rsidRPr="00B21422">
        <w:rPr>
          <w:i/>
        </w:rPr>
        <w:t xml:space="preserve"> </w:t>
      </w:r>
      <w:r w:rsidRPr="0063219C">
        <w:t>sp</w:t>
      </w:r>
      <w:r w:rsidRPr="00C22B07">
        <w:t>.</w:t>
      </w:r>
      <w:r w:rsidRPr="00B21422">
        <w:t>) rich in docosahexaenoic acid (DHA)</w:t>
      </w:r>
      <w:r w:rsidR="0046069B">
        <w:t xml:space="preserve"> (2 specifications)</w:t>
      </w:r>
    </w:p>
    <w:p w14:paraId="5D41EA5D" w14:textId="77777777" w:rsidR="008B1260" w:rsidRPr="00B21422" w:rsidRDefault="008B1260" w:rsidP="008B1260">
      <w:pPr>
        <w:pStyle w:val="FSBullet1"/>
      </w:pPr>
      <w:proofErr w:type="gramStart"/>
      <w:r w:rsidRPr="00B21422">
        <w:t>oil</w:t>
      </w:r>
      <w:proofErr w:type="gramEnd"/>
      <w:r w:rsidRPr="00B21422">
        <w:t xml:space="preserve"> derived from marine micro-algae (</w:t>
      </w:r>
      <w:proofErr w:type="spellStart"/>
      <w:r w:rsidRPr="00B21422">
        <w:rPr>
          <w:i/>
        </w:rPr>
        <w:t>Ulkenia</w:t>
      </w:r>
      <w:proofErr w:type="spellEnd"/>
      <w:r w:rsidRPr="00B21422">
        <w:rPr>
          <w:i/>
        </w:rPr>
        <w:t xml:space="preserve"> </w:t>
      </w:r>
      <w:r w:rsidRPr="0063219C">
        <w:t>sp</w:t>
      </w:r>
      <w:r w:rsidRPr="00C22B07">
        <w:t>.</w:t>
      </w:r>
      <w:r w:rsidRPr="00B21422">
        <w:t>) rich in docosahexaenoic acid (DHA)</w:t>
      </w:r>
      <w:r>
        <w:t>.</w:t>
      </w:r>
    </w:p>
    <w:p w14:paraId="44C8E8D9" w14:textId="77777777" w:rsidR="008B1260" w:rsidRPr="00B21422" w:rsidRDefault="008B1260" w:rsidP="008B1260">
      <w:pPr>
        <w:widowControl/>
        <w:rPr>
          <w:lang w:bidi="ar-SA"/>
        </w:rPr>
      </w:pPr>
    </w:p>
    <w:p w14:paraId="5353E5A4" w14:textId="07CACFD8" w:rsidR="008B1260" w:rsidRPr="00B21422" w:rsidRDefault="008B1260" w:rsidP="008979A3">
      <w:pPr>
        <w:widowControl/>
        <w:rPr>
          <w:lang w:eastAsia="en-AU" w:bidi="ar-SA"/>
        </w:rPr>
      </w:pPr>
      <w:r w:rsidRPr="00B21422">
        <w:rPr>
          <w:lang w:eastAsia="en-AU" w:bidi="ar-SA"/>
        </w:rPr>
        <w:t xml:space="preserve">All of these specifications refer to </w:t>
      </w:r>
      <w:r w:rsidR="007F2E3B">
        <w:rPr>
          <w:lang w:eastAsia="en-AU" w:bidi="ar-SA"/>
        </w:rPr>
        <w:t xml:space="preserve">minimum </w:t>
      </w:r>
      <w:r w:rsidR="00E41027">
        <w:rPr>
          <w:lang w:eastAsia="en-AU" w:bidi="ar-SA"/>
        </w:rPr>
        <w:t xml:space="preserve">levels of </w:t>
      </w:r>
      <w:r w:rsidRPr="00B21422">
        <w:rPr>
          <w:lang w:eastAsia="en-AU" w:bidi="ar-SA"/>
        </w:rPr>
        <w:t xml:space="preserve">DHA and </w:t>
      </w:r>
      <w:r w:rsidR="007F2E3B">
        <w:rPr>
          <w:lang w:eastAsia="en-AU" w:bidi="ar-SA"/>
        </w:rPr>
        <w:t>maximum</w:t>
      </w:r>
      <w:r w:rsidR="007F2E3B" w:rsidRPr="00B21422">
        <w:rPr>
          <w:lang w:eastAsia="en-AU" w:bidi="ar-SA"/>
        </w:rPr>
        <w:t xml:space="preserve"> </w:t>
      </w:r>
      <w:proofErr w:type="gramStart"/>
      <w:r w:rsidRPr="00AC64BD">
        <w:rPr>
          <w:i/>
          <w:lang w:eastAsia="en-AU" w:bidi="ar-SA"/>
        </w:rPr>
        <w:t>trans</w:t>
      </w:r>
      <w:proofErr w:type="gramEnd"/>
      <w:r w:rsidRPr="00B21422">
        <w:rPr>
          <w:lang w:eastAsia="en-AU" w:bidi="ar-SA"/>
        </w:rPr>
        <w:t xml:space="preserve"> fatty acids</w:t>
      </w:r>
      <w:r w:rsidR="000F3068">
        <w:rPr>
          <w:lang w:eastAsia="en-AU" w:bidi="ar-SA"/>
        </w:rPr>
        <w:t>;</w:t>
      </w:r>
      <w:r w:rsidR="007F2E3B">
        <w:rPr>
          <w:lang w:eastAsia="en-AU" w:bidi="ar-SA"/>
        </w:rPr>
        <w:t xml:space="preserve"> </w:t>
      </w:r>
      <w:r w:rsidR="003C2DCF">
        <w:rPr>
          <w:lang w:eastAsia="en-AU" w:bidi="ar-SA"/>
        </w:rPr>
        <w:t xml:space="preserve">a maximum EPA </w:t>
      </w:r>
      <w:r w:rsidR="00E41027">
        <w:rPr>
          <w:lang w:eastAsia="en-AU" w:bidi="ar-SA"/>
        </w:rPr>
        <w:t xml:space="preserve">level </w:t>
      </w:r>
      <w:r w:rsidR="000F3068">
        <w:rPr>
          <w:lang w:eastAsia="en-AU" w:bidi="ar-SA"/>
        </w:rPr>
        <w:t xml:space="preserve">is also established </w:t>
      </w:r>
      <w:r w:rsidR="003C2DCF">
        <w:rPr>
          <w:lang w:eastAsia="en-AU" w:bidi="ar-SA"/>
        </w:rPr>
        <w:t xml:space="preserve">for </w:t>
      </w:r>
      <w:r w:rsidR="000F3068">
        <w:rPr>
          <w:lang w:eastAsia="en-AU" w:bidi="ar-SA"/>
        </w:rPr>
        <w:t xml:space="preserve">the </w:t>
      </w:r>
      <w:proofErr w:type="spellStart"/>
      <w:r w:rsidR="000F3068" w:rsidRPr="00B21422">
        <w:rPr>
          <w:i/>
        </w:rPr>
        <w:t>Schizochytrium</w:t>
      </w:r>
      <w:proofErr w:type="spellEnd"/>
      <w:r w:rsidR="000F3068" w:rsidRPr="00B21422">
        <w:rPr>
          <w:i/>
        </w:rPr>
        <w:t xml:space="preserve"> </w:t>
      </w:r>
      <w:proofErr w:type="spellStart"/>
      <w:r w:rsidR="000F3068" w:rsidRPr="0063219C">
        <w:t>sp</w:t>
      </w:r>
      <w:proofErr w:type="spellEnd"/>
      <w:r w:rsidR="000F3068">
        <w:rPr>
          <w:lang w:eastAsia="en-AU" w:bidi="ar-SA"/>
        </w:rPr>
        <w:t xml:space="preserve"> oil permitted only for use in infant formula products</w:t>
      </w:r>
      <w:r w:rsidRPr="00B21422">
        <w:rPr>
          <w:lang w:eastAsia="en-AU" w:bidi="ar-SA"/>
        </w:rPr>
        <w:t>.</w:t>
      </w:r>
      <w:r>
        <w:rPr>
          <w:lang w:eastAsia="en-AU" w:bidi="ar-SA"/>
        </w:rPr>
        <w:t xml:space="preserve"> </w:t>
      </w:r>
    </w:p>
    <w:p w14:paraId="02481F3E" w14:textId="77777777" w:rsidR="00AF387F" w:rsidRPr="007B144E" w:rsidRDefault="00F33BB8" w:rsidP="00D062E4">
      <w:pPr>
        <w:pStyle w:val="Heading2"/>
        <w:rPr>
          <w:color w:val="000000" w:themeColor="text1"/>
          <w:u w:color="FFFF00"/>
        </w:rPr>
      </w:pPr>
      <w:bookmarkStart w:id="23" w:name="_Toc490726026"/>
      <w:r w:rsidRPr="007B144E">
        <w:rPr>
          <w:color w:val="000000" w:themeColor="text1"/>
          <w:u w:color="FFFF00"/>
        </w:rPr>
        <w:lastRenderedPageBreak/>
        <w:t>1</w:t>
      </w:r>
      <w:r w:rsidR="00606C88" w:rsidRPr="007B144E">
        <w:rPr>
          <w:color w:val="000000" w:themeColor="text1"/>
          <w:u w:color="FFFF00"/>
        </w:rPr>
        <w:t>.4</w:t>
      </w:r>
      <w:r w:rsidR="001542D8" w:rsidRPr="007B144E">
        <w:rPr>
          <w:color w:val="000000" w:themeColor="text1"/>
          <w:u w:color="FFFF00"/>
        </w:rPr>
        <w:tab/>
      </w:r>
      <w:r w:rsidR="00741EFE" w:rsidRPr="007B144E">
        <w:rPr>
          <w:color w:val="000000" w:themeColor="text1"/>
          <w:u w:color="FFFF00"/>
        </w:rPr>
        <w:t>Reasons for accepting A</w:t>
      </w:r>
      <w:r w:rsidR="00AF387F" w:rsidRPr="007B144E">
        <w:rPr>
          <w:color w:val="000000" w:themeColor="text1"/>
          <w:u w:color="FFFF00"/>
        </w:rPr>
        <w:t>pplication</w:t>
      </w:r>
      <w:bookmarkEnd w:id="20"/>
      <w:bookmarkEnd w:id="21"/>
      <w:bookmarkEnd w:id="23"/>
    </w:p>
    <w:p w14:paraId="23E34C04" w14:textId="77777777" w:rsidR="007B144E" w:rsidRPr="007B144E" w:rsidRDefault="007B144E" w:rsidP="007B144E">
      <w:pPr>
        <w:rPr>
          <w:color w:val="000000" w:themeColor="text1"/>
        </w:rPr>
      </w:pPr>
      <w:bookmarkStart w:id="24" w:name="_Toc286391008"/>
      <w:bookmarkStart w:id="25" w:name="_Toc11735630"/>
      <w:bookmarkStart w:id="26" w:name="_Toc29883114"/>
      <w:bookmarkStart w:id="27" w:name="_Toc41906801"/>
      <w:bookmarkStart w:id="28" w:name="_Toc41907548"/>
      <w:bookmarkStart w:id="29" w:name="_Toc120358578"/>
      <w:bookmarkStart w:id="30" w:name="_Toc175381435"/>
      <w:bookmarkEnd w:id="3"/>
      <w:bookmarkEnd w:id="4"/>
      <w:bookmarkEnd w:id="5"/>
      <w:bookmarkEnd w:id="6"/>
      <w:bookmarkEnd w:id="7"/>
      <w:bookmarkEnd w:id="22"/>
      <w:r w:rsidRPr="007B144E">
        <w:rPr>
          <w:color w:val="000000" w:themeColor="text1"/>
        </w:rPr>
        <w:t>The Application was accepted for assessment because:</w:t>
      </w:r>
    </w:p>
    <w:p w14:paraId="61E7FBA9" w14:textId="77777777" w:rsidR="007B144E" w:rsidRPr="007B144E" w:rsidRDefault="007B144E" w:rsidP="007B144E">
      <w:pPr>
        <w:rPr>
          <w:color w:val="000000" w:themeColor="text1"/>
        </w:rPr>
      </w:pPr>
    </w:p>
    <w:p w14:paraId="1BAE7ACF" w14:textId="6C21827E" w:rsidR="007B144E" w:rsidRPr="007B144E" w:rsidRDefault="007B144E" w:rsidP="007B144E">
      <w:pPr>
        <w:pStyle w:val="FSBullet1"/>
        <w:numPr>
          <w:ilvl w:val="0"/>
          <w:numId w:val="10"/>
        </w:numPr>
        <w:ind w:left="567" w:hanging="567"/>
        <w:rPr>
          <w:color w:val="000000" w:themeColor="text1"/>
        </w:rPr>
      </w:pPr>
      <w:r w:rsidRPr="007B144E">
        <w:rPr>
          <w:color w:val="000000" w:themeColor="text1"/>
        </w:rPr>
        <w:t>it complied with the procedural requirements under subsection 22(2) of the FSANZ Act</w:t>
      </w:r>
    </w:p>
    <w:p w14:paraId="0FAA06B5" w14:textId="72B19769" w:rsidR="007B144E" w:rsidRPr="007B144E" w:rsidRDefault="007B144E" w:rsidP="007B144E">
      <w:pPr>
        <w:pStyle w:val="FSBullet1"/>
        <w:numPr>
          <w:ilvl w:val="0"/>
          <w:numId w:val="10"/>
        </w:numPr>
        <w:ind w:left="567" w:hanging="567"/>
        <w:rPr>
          <w:color w:val="000000" w:themeColor="text1"/>
        </w:rPr>
      </w:pPr>
      <w:r w:rsidRPr="007B144E">
        <w:rPr>
          <w:color w:val="000000" w:themeColor="text1"/>
        </w:rPr>
        <w:t>it related to a matter that warranted the variation of a food regulatory measure</w:t>
      </w:r>
    </w:p>
    <w:p w14:paraId="08D00761" w14:textId="77777777" w:rsidR="007B144E" w:rsidRPr="007B144E" w:rsidRDefault="007B144E" w:rsidP="007B144E">
      <w:pPr>
        <w:pStyle w:val="FSBullet1"/>
        <w:numPr>
          <w:ilvl w:val="0"/>
          <w:numId w:val="11"/>
        </w:numPr>
        <w:ind w:left="567" w:hanging="567"/>
        <w:rPr>
          <w:color w:val="000000" w:themeColor="text1"/>
        </w:rPr>
      </w:pPr>
      <w:proofErr w:type="gramStart"/>
      <w:r w:rsidRPr="007B144E">
        <w:rPr>
          <w:color w:val="000000" w:themeColor="text1"/>
        </w:rPr>
        <w:t>it</w:t>
      </w:r>
      <w:proofErr w:type="gramEnd"/>
      <w:r w:rsidRPr="007B144E">
        <w:rPr>
          <w:color w:val="000000" w:themeColor="text1"/>
        </w:rPr>
        <w:t xml:space="preserve"> was not so similar to a previous application for the variation of a food regulatory measure that it ought to be rejected.</w:t>
      </w:r>
    </w:p>
    <w:p w14:paraId="2FB7BB81" w14:textId="77777777" w:rsidR="00DE79D9" w:rsidRPr="007B144E" w:rsidRDefault="00D3171B" w:rsidP="00DE79D9">
      <w:pPr>
        <w:pStyle w:val="Heading2"/>
        <w:rPr>
          <w:color w:val="000000" w:themeColor="text1"/>
        </w:rPr>
      </w:pPr>
      <w:bookmarkStart w:id="31" w:name="_Toc490726027"/>
      <w:r w:rsidRPr="007B144E">
        <w:rPr>
          <w:color w:val="000000" w:themeColor="text1"/>
        </w:rPr>
        <w:t>1</w:t>
      </w:r>
      <w:r w:rsidR="00606C88" w:rsidRPr="007B144E">
        <w:rPr>
          <w:color w:val="000000" w:themeColor="text1"/>
        </w:rPr>
        <w:t>.5</w:t>
      </w:r>
      <w:r w:rsidR="00DE79D9" w:rsidRPr="007B144E">
        <w:rPr>
          <w:color w:val="000000" w:themeColor="text1"/>
        </w:rPr>
        <w:tab/>
        <w:t>Procedure for assessment</w:t>
      </w:r>
      <w:bookmarkEnd w:id="31"/>
    </w:p>
    <w:p w14:paraId="36A0FE3C" w14:textId="77777777" w:rsidR="00DE79D9" w:rsidRPr="007B144E" w:rsidRDefault="00DE79D9" w:rsidP="00DE79D9">
      <w:pPr>
        <w:rPr>
          <w:color w:val="000000" w:themeColor="text1"/>
        </w:rPr>
      </w:pPr>
      <w:r w:rsidRPr="007B144E">
        <w:rPr>
          <w:color w:val="000000" w:themeColor="text1"/>
        </w:rPr>
        <w:t>The A</w:t>
      </w:r>
      <w:r w:rsidR="007B144E" w:rsidRPr="007B144E">
        <w:rPr>
          <w:color w:val="000000" w:themeColor="text1"/>
        </w:rPr>
        <w:t>pplication</w:t>
      </w:r>
      <w:r w:rsidRPr="007B144E">
        <w:rPr>
          <w:color w:val="000000" w:themeColor="text1"/>
        </w:rPr>
        <w:t xml:space="preserve"> is being assessed under the </w:t>
      </w:r>
      <w:r w:rsidR="007B144E" w:rsidRPr="007B144E">
        <w:rPr>
          <w:color w:val="000000" w:themeColor="text1"/>
        </w:rPr>
        <w:t>General</w:t>
      </w:r>
      <w:r w:rsidRPr="007B144E">
        <w:rPr>
          <w:color w:val="000000" w:themeColor="text1"/>
        </w:rPr>
        <w:t xml:space="preserve"> Procedure.</w:t>
      </w:r>
    </w:p>
    <w:p w14:paraId="59460A61" w14:textId="77777777" w:rsidR="00DE79D9" w:rsidRPr="007B144E" w:rsidRDefault="00DE79D9" w:rsidP="00180C41">
      <w:pPr>
        <w:rPr>
          <w:color w:val="000000" w:themeColor="text1"/>
        </w:rPr>
      </w:pPr>
    </w:p>
    <w:p w14:paraId="6F09091F" w14:textId="77777777" w:rsidR="00AF387F" w:rsidRPr="007B144E" w:rsidRDefault="00D3171B" w:rsidP="00180C41">
      <w:pPr>
        <w:pStyle w:val="Heading1"/>
        <w:rPr>
          <w:color w:val="000000" w:themeColor="text1"/>
        </w:rPr>
      </w:pPr>
      <w:bookmarkStart w:id="32" w:name="_Toc300933424"/>
      <w:bookmarkStart w:id="33" w:name="_Toc490726028"/>
      <w:r w:rsidRPr="007B144E">
        <w:rPr>
          <w:color w:val="000000" w:themeColor="text1"/>
        </w:rPr>
        <w:t>2</w:t>
      </w:r>
      <w:r w:rsidR="001542D8" w:rsidRPr="007B144E">
        <w:rPr>
          <w:color w:val="000000" w:themeColor="text1"/>
        </w:rPr>
        <w:tab/>
      </w:r>
      <w:r w:rsidR="00350DBD" w:rsidRPr="007B144E">
        <w:rPr>
          <w:color w:val="000000" w:themeColor="text1"/>
        </w:rPr>
        <w:t>S</w:t>
      </w:r>
      <w:r w:rsidR="00FB1533" w:rsidRPr="007B144E">
        <w:rPr>
          <w:color w:val="000000" w:themeColor="text1"/>
        </w:rPr>
        <w:t>ummary of the a</w:t>
      </w:r>
      <w:r w:rsidR="00FD2FBE" w:rsidRPr="007B144E">
        <w:rPr>
          <w:color w:val="000000" w:themeColor="text1"/>
        </w:rPr>
        <w:t>ssessment</w:t>
      </w:r>
      <w:bookmarkEnd w:id="24"/>
      <w:bookmarkEnd w:id="32"/>
      <w:bookmarkEnd w:id="33"/>
    </w:p>
    <w:p w14:paraId="48AFDAF4" w14:textId="49639B4A" w:rsidR="007B144E" w:rsidRPr="007B144E" w:rsidRDefault="007B144E" w:rsidP="007B144E">
      <w:pPr>
        <w:pStyle w:val="Heading2"/>
        <w:rPr>
          <w:color w:val="000000" w:themeColor="text1"/>
        </w:rPr>
      </w:pPr>
      <w:bookmarkStart w:id="34" w:name="_Toc300933438"/>
      <w:bookmarkStart w:id="35" w:name="_Toc490726029"/>
      <w:bookmarkStart w:id="36" w:name="_Toc286391009"/>
      <w:bookmarkStart w:id="37" w:name="_Toc300933425"/>
      <w:bookmarkStart w:id="38" w:name="_Toc120358583"/>
      <w:bookmarkStart w:id="39" w:name="_Toc175381440"/>
      <w:bookmarkStart w:id="40" w:name="_Toc175381442"/>
      <w:bookmarkStart w:id="41" w:name="_Toc286391010"/>
      <w:bookmarkStart w:id="42" w:name="_Toc300933426"/>
      <w:r w:rsidRPr="007B144E">
        <w:rPr>
          <w:color w:val="000000" w:themeColor="text1"/>
        </w:rPr>
        <w:t>2.1</w:t>
      </w:r>
      <w:r w:rsidRPr="007B144E">
        <w:rPr>
          <w:color w:val="000000" w:themeColor="text1"/>
        </w:rPr>
        <w:tab/>
      </w:r>
      <w:bookmarkEnd w:id="34"/>
      <w:r w:rsidRPr="007B144E">
        <w:rPr>
          <w:color w:val="000000" w:themeColor="text1"/>
        </w:rPr>
        <w:t xml:space="preserve">Safety </w:t>
      </w:r>
      <w:r w:rsidR="00FC5427">
        <w:rPr>
          <w:color w:val="000000" w:themeColor="text1"/>
        </w:rPr>
        <w:t>and nutrition</w:t>
      </w:r>
      <w:r w:rsidR="007F2E3B">
        <w:rPr>
          <w:color w:val="000000" w:themeColor="text1"/>
        </w:rPr>
        <w:t xml:space="preserve"> </w:t>
      </w:r>
      <w:r w:rsidR="0087773C">
        <w:rPr>
          <w:color w:val="000000" w:themeColor="text1"/>
        </w:rPr>
        <w:t xml:space="preserve">risk </w:t>
      </w:r>
      <w:r w:rsidRPr="007B144E">
        <w:rPr>
          <w:color w:val="000000" w:themeColor="text1"/>
        </w:rPr>
        <w:t>assessment</w:t>
      </w:r>
      <w:bookmarkEnd w:id="35"/>
    </w:p>
    <w:p w14:paraId="1D6FA3AD" w14:textId="2A5D6FB9" w:rsidR="007B144E" w:rsidRDefault="007B144E" w:rsidP="007B144E">
      <w:pPr>
        <w:pStyle w:val="FSHeading"/>
        <w:ind w:left="0" w:firstLine="0"/>
        <w:rPr>
          <w:b w:val="0"/>
          <w:color w:val="000000" w:themeColor="text1"/>
        </w:rPr>
      </w:pPr>
      <w:r w:rsidRPr="00850459">
        <w:rPr>
          <w:b w:val="0"/>
          <w:color w:val="000000" w:themeColor="text1"/>
        </w:rPr>
        <w:t>In conducting a</w:t>
      </w:r>
      <w:r w:rsidR="00FC6787">
        <w:rPr>
          <w:b w:val="0"/>
          <w:color w:val="000000" w:themeColor="text1"/>
        </w:rPr>
        <w:t>n</w:t>
      </w:r>
      <w:r w:rsidRPr="00850459">
        <w:rPr>
          <w:b w:val="0"/>
          <w:color w:val="000000" w:themeColor="text1"/>
        </w:rPr>
        <w:t xml:space="preserve"> asse</w:t>
      </w:r>
      <w:r>
        <w:rPr>
          <w:b w:val="0"/>
          <w:color w:val="000000" w:themeColor="text1"/>
        </w:rPr>
        <w:t>ssment of food derived from DHA canola</w:t>
      </w:r>
      <w:r w:rsidRPr="00850459">
        <w:rPr>
          <w:b w:val="0"/>
          <w:color w:val="000000" w:themeColor="text1"/>
        </w:rPr>
        <w:t>, a number of criteria have been addressed including: a characterisation of the transferred gene sequences, their origin, function and stability in the canola genome; the changes at the level of DNA and protein in the whole food; compositional analyses</w:t>
      </w:r>
      <w:r w:rsidRPr="002C33A1">
        <w:rPr>
          <w:b w:val="0"/>
          <w:color w:val="000000" w:themeColor="text1"/>
        </w:rPr>
        <w:t xml:space="preserve">; </w:t>
      </w:r>
      <w:r w:rsidR="00491407">
        <w:rPr>
          <w:b w:val="0"/>
          <w:color w:val="000000" w:themeColor="text1"/>
        </w:rPr>
        <w:t>an</w:t>
      </w:r>
      <w:r w:rsidRPr="002C33A1">
        <w:rPr>
          <w:b w:val="0"/>
          <w:color w:val="000000" w:themeColor="text1"/>
        </w:rPr>
        <w:t xml:space="preserve"> evaluation of intended and unintended changes</w:t>
      </w:r>
      <w:r w:rsidR="00076D2F">
        <w:rPr>
          <w:b w:val="0"/>
          <w:color w:val="000000" w:themeColor="text1"/>
        </w:rPr>
        <w:t>;</w:t>
      </w:r>
      <w:r w:rsidR="00491407">
        <w:rPr>
          <w:b w:val="0"/>
          <w:color w:val="000000" w:themeColor="text1"/>
        </w:rPr>
        <w:t xml:space="preserve"> and</w:t>
      </w:r>
      <w:r w:rsidR="007C76BC">
        <w:rPr>
          <w:b w:val="0"/>
          <w:color w:val="000000" w:themeColor="text1"/>
        </w:rPr>
        <w:t xml:space="preserve"> a </w:t>
      </w:r>
      <w:r w:rsidR="00233B21">
        <w:rPr>
          <w:b w:val="0"/>
          <w:color w:val="000000" w:themeColor="text1"/>
        </w:rPr>
        <w:t>nutrition assessment comprising a</w:t>
      </w:r>
      <w:r w:rsidR="007C76BC">
        <w:rPr>
          <w:b w:val="0"/>
          <w:color w:val="000000" w:themeColor="text1"/>
        </w:rPr>
        <w:t xml:space="preserve"> hazard assessment and a dietary intake assessment.</w:t>
      </w:r>
    </w:p>
    <w:p w14:paraId="5EE6DFF0" w14:textId="77777777" w:rsidR="007B144E" w:rsidRDefault="007B144E" w:rsidP="007B144E">
      <w:pPr>
        <w:pStyle w:val="FSHeading"/>
        <w:ind w:left="0" w:firstLine="0"/>
        <w:rPr>
          <w:b w:val="0"/>
          <w:color w:val="000000" w:themeColor="text1"/>
        </w:rPr>
      </w:pPr>
    </w:p>
    <w:p w14:paraId="4E46AAB9" w14:textId="1FCD119B" w:rsidR="00E820C2" w:rsidRDefault="00E820C2" w:rsidP="00E820C2">
      <w:pPr>
        <w:widowControl/>
        <w:rPr>
          <w:color w:val="000000" w:themeColor="text1"/>
        </w:rPr>
      </w:pPr>
      <w:r>
        <w:rPr>
          <w:color w:val="000000" w:themeColor="text1"/>
        </w:rPr>
        <w:t xml:space="preserve">Supporting Document 1 (SD1) which deals with the genetic modification </w:t>
      </w:r>
      <w:r w:rsidRPr="00AC7270">
        <w:rPr>
          <w:i/>
          <w:color w:val="000000" w:themeColor="text1"/>
        </w:rPr>
        <w:t>per se</w:t>
      </w:r>
      <w:r>
        <w:rPr>
          <w:color w:val="000000" w:themeColor="text1"/>
        </w:rPr>
        <w:t xml:space="preserve"> did not identify any </w:t>
      </w:r>
      <w:r w:rsidRPr="00DD5D09">
        <w:rPr>
          <w:color w:val="000000" w:themeColor="text1"/>
        </w:rPr>
        <w:t>potential pu</w:t>
      </w:r>
      <w:r>
        <w:rPr>
          <w:color w:val="000000" w:themeColor="text1"/>
        </w:rPr>
        <w:t>blic health and safety concerns</w:t>
      </w:r>
      <w:r w:rsidRPr="00DD5D09">
        <w:rPr>
          <w:color w:val="000000" w:themeColor="text1"/>
        </w:rPr>
        <w:t xml:space="preserve">. </w:t>
      </w:r>
      <w:r>
        <w:rPr>
          <w:color w:val="000000" w:themeColor="text1"/>
        </w:rPr>
        <w:t>It concludes that, b</w:t>
      </w:r>
      <w:r w:rsidRPr="005B2614">
        <w:rPr>
          <w:color w:val="000000" w:themeColor="text1"/>
        </w:rPr>
        <w:t xml:space="preserve">ased on the data provided in the Application and other available information, </w:t>
      </w:r>
      <w:r>
        <w:rPr>
          <w:color w:val="000000" w:themeColor="text1"/>
        </w:rPr>
        <w:t>food derived from DHA canola</w:t>
      </w:r>
      <w:r w:rsidRPr="005B2614">
        <w:rPr>
          <w:color w:val="000000" w:themeColor="text1"/>
        </w:rPr>
        <w:t xml:space="preserve"> is considered to be as safe for human consumption as food </w:t>
      </w:r>
      <w:r>
        <w:rPr>
          <w:color w:val="000000" w:themeColor="text1"/>
        </w:rPr>
        <w:t>derived from conventional canola</w:t>
      </w:r>
      <w:r w:rsidRPr="005B2614">
        <w:rPr>
          <w:color w:val="000000" w:themeColor="text1"/>
        </w:rPr>
        <w:t xml:space="preserve"> cultivars.</w:t>
      </w:r>
      <w:r>
        <w:rPr>
          <w:color w:val="000000" w:themeColor="text1"/>
        </w:rPr>
        <w:t xml:space="preserve"> It is noted this document focusses on human food safety and </w:t>
      </w:r>
      <w:r w:rsidRPr="00DD5D09">
        <w:rPr>
          <w:color w:val="000000" w:themeColor="text1"/>
        </w:rPr>
        <w:t>therefore does not address any risks to the environment that may occur as the result of growing GM plants used in food production or any risks to animals that may consu</w:t>
      </w:r>
      <w:r>
        <w:rPr>
          <w:color w:val="000000" w:themeColor="text1"/>
        </w:rPr>
        <w:t>me feed derived from GM plants.</w:t>
      </w:r>
    </w:p>
    <w:p w14:paraId="1DC88322" w14:textId="77777777" w:rsidR="00E820C2" w:rsidRDefault="00E820C2" w:rsidP="007B144E">
      <w:pPr>
        <w:rPr>
          <w:color w:val="000000" w:themeColor="text1"/>
        </w:rPr>
      </w:pPr>
    </w:p>
    <w:p w14:paraId="0C7A9FA3" w14:textId="41D04221" w:rsidR="00B34B71" w:rsidRDefault="00B34B71" w:rsidP="00B34B71">
      <w:r>
        <w:t>DHA is</w:t>
      </w:r>
      <w:r w:rsidRPr="00AF4AED">
        <w:t xml:space="preserve"> mainly obtained from </w:t>
      </w:r>
      <w:r w:rsidR="00972B32">
        <w:t>consuming</w:t>
      </w:r>
      <w:r w:rsidRPr="00AF4AED">
        <w:t xml:space="preserve"> seafood and marine oils</w:t>
      </w:r>
      <w:r w:rsidR="00420830">
        <w:t>,</w:t>
      </w:r>
      <w:r w:rsidRPr="00AF4AED">
        <w:t xml:space="preserve"> </w:t>
      </w:r>
      <w:r w:rsidRPr="00AF4AED" w:rsidDel="00D13248">
        <w:t xml:space="preserve">with </w:t>
      </w:r>
      <w:r w:rsidR="00420830">
        <w:t>a</w:t>
      </w:r>
      <w:r w:rsidRPr="00AF4AED" w:rsidDel="00D13248">
        <w:t xml:space="preserve"> contribution due to endogenous biosynthesis from dietary </w:t>
      </w:r>
      <w:r w:rsidRPr="00DA4E18">
        <w:t>α</w:t>
      </w:r>
      <w:r>
        <w:t>-linolenic acid (</w:t>
      </w:r>
      <w:r w:rsidRPr="00AF4AED" w:rsidDel="00D13248">
        <w:t>ALA</w:t>
      </w:r>
      <w:r>
        <w:t xml:space="preserve">). DHA plays a role in </w:t>
      </w:r>
      <w:r w:rsidRPr="00AF4AED">
        <w:t>physiological</w:t>
      </w:r>
      <w:r w:rsidRPr="00D14099">
        <w:t xml:space="preserve"> </w:t>
      </w:r>
      <w:r w:rsidRPr="00AF4AED">
        <w:t>functions</w:t>
      </w:r>
      <w:r>
        <w:t xml:space="preserve"> including regulati</w:t>
      </w:r>
      <w:r w:rsidR="00972B32">
        <w:t>ng</w:t>
      </w:r>
      <w:r>
        <w:t xml:space="preserve"> inflammation</w:t>
      </w:r>
      <w:r w:rsidRPr="00AF4AED">
        <w:t xml:space="preserve"> </w:t>
      </w:r>
      <w:r>
        <w:t>and immune function, lipid</w:t>
      </w:r>
      <w:r w:rsidRPr="00AF4AED">
        <w:t xml:space="preserve"> metaboli</w:t>
      </w:r>
      <w:r>
        <w:t>sm, and cardiovascular function</w:t>
      </w:r>
      <w:r w:rsidRPr="00AF4AED">
        <w:t>.</w:t>
      </w:r>
    </w:p>
    <w:p w14:paraId="574AE1AB" w14:textId="77777777" w:rsidR="00B34B71" w:rsidRDefault="00B34B71" w:rsidP="00B34B71">
      <w:pPr>
        <w:widowControl/>
        <w:autoSpaceDE w:val="0"/>
        <w:autoSpaceDN w:val="0"/>
        <w:adjustRightInd w:val="0"/>
        <w:rPr>
          <w:rFonts w:ascii="CharterBT-Roman" w:hAnsi="CharterBT-Roman" w:cs="CharterBT-Roman"/>
          <w:szCs w:val="22"/>
          <w:lang w:eastAsia="en-GB" w:bidi="ar-SA"/>
        </w:rPr>
      </w:pPr>
    </w:p>
    <w:p w14:paraId="739D1844" w14:textId="4F92B0F3" w:rsidR="00972B32" w:rsidRDefault="00E820C2" w:rsidP="00B34B71">
      <w:pPr>
        <w:rPr>
          <w:color w:val="000000" w:themeColor="text1"/>
        </w:rPr>
      </w:pPr>
      <w:r w:rsidRPr="00E820C2">
        <w:rPr>
          <w:color w:val="000000" w:themeColor="text1"/>
        </w:rPr>
        <w:t>Supportin</w:t>
      </w:r>
      <w:r w:rsidR="0028366E">
        <w:rPr>
          <w:color w:val="000000" w:themeColor="text1"/>
        </w:rPr>
        <w:t>g Document 2 (SD2</w:t>
      </w:r>
      <w:r w:rsidRPr="00E820C2">
        <w:rPr>
          <w:color w:val="000000" w:themeColor="text1"/>
        </w:rPr>
        <w:t>) reports on the nutrition risk assessment and includes a</w:t>
      </w:r>
      <w:r w:rsidR="00972B32">
        <w:rPr>
          <w:color w:val="000000" w:themeColor="text1"/>
        </w:rPr>
        <w:t>:</w:t>
      </w:r>
    </w:p>
    <w:p w14:paraId="0AC6754F" w14:textId="77777777" w:rsidR="00972B32" w:rsidRDefault="00972B32" w:rsidP="00B34B71">
      <w:pPr>
        <w:rPr>
          <w:color w:val="000000" w:themeColor="text1"/>
        </w:rPr>
      </w:pPr>
    </w:p>
    <w:p w14:paraId="0F497D5E" w14:textId="3696FD65" w:rsidR="00972B32" w:rsidRDefault="00E820C2" w:rsidP="00420830">
      <w:pPr>
        <w:pStyle w:val="ListParagraph"/>
        <w:numPr>
          <w:ilvl w:val="0"/>
          <w:numId w:val="16"/>
        </w:numPr>
      </w:pPr>
      <w:r w:rsidRPr="00972B32">
        <w:rPr>
          <w:color w:val="000000" w:themeColor="text1"/>
        </w:rPr>
        <w:t xml:space="preserve">nutrition hazard assessment that </w:t>
      </w:r>
      <w:r w:rsidRPr="00E820C2">
        <w:t>considers potential</w:t>
      </w:r>
      <w:r w:rsidRPr="00633236">
        <w:t xml:space="preserve"> adverse effects associated with DHA intake, and information o</w:t>
      </w:r>
      <w:r w:rsidR="003F3459">
        <w:t xml:space="preserve">n the Upper Level </w:t>
      </w:r>
      <w:r>
        <w:t>of Intake</w:t>
      </w:r>
      <w:r w:rsidRPr="00633236">
        <w:t xml:space="preserve"> </w:t>
      </w:r>
      <w:r w:rsidR="003F3459">
        <w:t xml:space="preserve">(UL) </w:t>
      </w:r>
      <w:r w:rsidRPr="00633236">
        <w:t>for</w:t>
      </w:r>
      <w:r>
        <w:t xml:space="preserve"> omega-3 long chain polyunsaturated fatty acids (n-3 LC-PUFA)</w:t>
      </w:r>
      <w:r w:rsidR="00DE6FFB">
        <w:t>,</w:t>
      </w:r>
      <w:r>
        <w:t xml:space="preserve"> </w:t>
      </w:r>
      <w:r w:rsidR="00DE6FFB">
        <w:t xml:space="preserve">defined as the </w:t>
      </w:r>
      <w:r w:rsidR="00DE6FFB" w:rsidRPr="00065FBE">
        <w:t xml:space="preserve">sum of </w:t>
      </w:r>
      <w:r w:rsidR="00DE6FFB">
        <w:t xml:space="preserve">DHA, </w:t>
      </w:r>
      <w:proofErr w:type="spellStart"/>
      <w:r w:rsidR="00DE6FFB" w:rsidRPr="00065FBE">
        <w:t>docosapentaenoic</w:t>
      </w:r>
      <w:proofErr w:type="spellEnd"/>
      <w:r w:rsidR="00DE6FFB" w:rsidRPr="00065FBE">
        <w:t xml:space="preserve"> acid </w:t>
      </w:r>
      <w:r w:rsidR="00DE6FFB">
        <w:t xml:space="preserve">(DPA) and </w:t>
      </w:r>
      <w:r w:rsidR="00DE6FFB" w:rsidRPr="00065FBE">
        <w:t>EPA</w:t>
      </w:r>
    </w:p>
    <w:p w14:paraId="2917EA66" w14:textId="5A33A385" w:rsidR="00B34B71" w:rsidRDefault="00E820C2" w:rsidP="00420830">
      <w:pPr>
        <w:pStyle w:val="ListParagraph"/>
        <w:numPr>
          <w:ilvl w:val="0"/>
          <w:numId w:val="16"/>
        </w:numPr>
      </w:pPr>
      <w:r w:rsidRPr="00633236">
        <w:t xml:space="preserve">dietary intake assessment </w:t>
      </w:r>
      <w:r>
        <w:t>that considers</w:t>
      </w:r>
      <w:r w:rsidRPr="00633236">
        <w:t xml:space="preserve"> the usual i</w:t>
      </w:r>
      <w:r>
        <w:t>ntake of n-3 LC-PUFA</w:t>
      </w:r>
      <w:r w:rsidRPr="00633236">
        <w:t xml:space="preserve"> from the current food supply (baseline intake) </w:t>
      </w:r>
      <w:r w:rsidR="002245F0">
        <w:t xml:space="preserve">in Australia and New Zealand </w:t>
      </w:r>
      <w:r w:rsidRPr="00633236">
        <w:t xml:space="preserve">and two scenarios to account for </w:t>
      </w:r>
      <w:r w:rsidR="00E808F7">
        <w:t xml:space="preserve">potential </w:t>
      </w:r>
      <w:r w:rsidRPr="00633236">
        <w:t>additional intake of DHA due to the introduction of DHA canola oil</w:t>
      </w:r>
      <w:r>
        <w:t xml:space="preserve">. </w:t>
      </w:r>
    </w:p>
    <w:p w14:paraId="512F2A92" w14:textId="5740051B" w:rsidR="0087773C" w:rsidRDefault="0087773C" w:rsidP="00E820C2">
      <w:pPr>
        <w:widowControl/>
        <w:autoSpaceDE w:val="0"/>
        <w:autoSpaceDN w:val="0"/>
        <w:adjustRightInd w:val="0"/>
        <w:rPr>
          <w:rFonts w:ascii="CharterBT-Roman" w:hAnsi="CharterBT-Roman" w:cs="CharterBT-Roman"/>
          <w:szCs w:val="22"/>
          <w:lang w:eastAsia="en-GB" w:bidi="ar-SA"/>
        </w:rPr>
      </w:pPr>
    </w:p>
    <w:p w14:paraId="777FB4D1" w14:textId="39687BB0" w:rsidR="003F3459" w:rsidRDefault="00420830" w:rsidP="003F3459">
      <w:r w:rsidRPr="008641EF">
        <w:t xml:space="preserve">The nutrition </w:t>
      </w:r>
      <w:r>
        <w:t xml:space="preserve">hazard </w:t>
      </w:r>
      <w:r w:rsidRPr="008641EF">
        <w:t>assessment conclude</w:t>
      </w:r>
      <w:r>
        <w:t>d</w:t>
      </w:r>
      <w:r w:rsidRPr="008641EF">
        <w:t xml:space="preserve"> that DHA intakes of up to 6 g/day</w:t>
      </w:r>
      <w:r>
        <w:t xml:space="preserve"> do not raise safety concerns</w:t>
      </w:r>
      <w:r w:rsidRPr="008641EF">
        <w:t>.</w:t>
      </w:r>
      <w:r>
        <w:t xml:space="preserve"> </w:t>
      </w:r>
      <w:r w:rsidRPr="00065FBE">
        <w:t>This value is greater than the UL for n-3 LC-PUFA, namely 3 g/day</w:t>
      </w:r>
      <w:r>
        <w:t>.</w:t>
      </w:r>
      <w:r w:rsidRPr="00633236">
        <w:t xml:space="preserve"> The</w:t>
      </w:r>
      <w:r w:rsidR="002245F0" w:rsidRPr="00633236">
        <w:t xml:space="preserve"> </w:t>
      </w:r>
      <w:r w:rsidR="002245F0">
        <w:t xml:space="preserve">dietary </w:t>
      </w:r>
      <w:r w:rsidR="002245F0" w:rsidRPr="00633236">
        <w:t>intake estimates for</w:t>
      </w:r>
      <w:r w:rsidR="002245F0">
        <w:t xml:space="preserve"> all population groups in both Australia and New Zealand were below the UL of 3 </w:t>
      </w:r>
      <w:r w:rsidR="002245F0" w:rsidRPr="00633236">
        <w:t>g/day</w:t>
      </w:r>
      <w:r w:rsidR="00DE6FFB">
        <w:t xml:space="preserve"> for </w:t>
      </w:r>
      <w:r w:rsidR="00DE6FFB" w:rsidRPr="00065FBE">
        <w:t>n-3 LC-PUFA</w:t>
      </w:r>
      <w:r w:rsidR="002245F0" w:rsidRPr="00633236">
        <w:t xml:space="preserve">. </w:t>
      </w:r>
      <w:bookmarkEnd w:id="36"/>
      <w:bookmarkEnd w:id="37"/>
      <w:bookmarkEnd w:id="38"/>
      <w:bookmarkEnd w:id="39"/>
      <w:r w:rsidR="003F3459">
        <w:t>I</w:t>
      </w:r>
      <w:r w:rsidR="003F3459" w:rsidRPr="001C1ECA">
        <w:t xml:space="preserve">t is </w:t>
      </w:r>
      <w:r w:rsidR="003F3459">
        <w:t xml:space="preserve">therefore </w:t>
      </w:r>
      <w:r w:rsidR="003F3459" w:rsidRPr="001C1ECA">
        <w:t>concluded that consumption of DHA canola oil will not pose a nutritional concern to the Australian and New Zealand population.</w:t>
      </w:r>
      <w:r w:rsidR="003F3459">
        <w:t xml:space="preserve"> </w:t>
      </w:r>
    </w:p>
    <w:p w14:paraId="750FC6B3" w14:textId="77777777" w:rsidR="003F3459" w:rsidRDefault="003F3459" w:rsidP="003F3459"/>
    <w:p w14:paraId="3D7C7260" w14:textId="7948B334" w:rsidR="004F69F6" w:rsidRPr="003F3459" w:rsidRDefault="00D3171B" w:rsidP="003F3459">
      <w:pPr>
        <w:pStyle w:val="Heading2"/>
        <w:rPr>
          <w:color w:val="000000" w:themeColor="text1"/>
        </w:rPr>
      </w:pPr>
      <w:bookmarkStart w:id="43" w:name="_Toc490726030"/>
      <w:r w:rsidRPr="003F3459">
        <w:rPr>
          <w:color w:val="000000" w:themeColor="text1"/>
        </w:rPr>
        <w:lastRenderedPageBreak/>
        <w:t>2</w:t>
      </w:r>
      <w:r w:rsidR="0045556F" w:rsidRPr="003F3459">
        <w:rPr>
          <w:color w:val="000000" w:themeColor="text1"/>
        </w:rPr>
        <w:t>.</w:t>
      </w:r>
      <w:r w:rsidR="007B144E" w:rsidRPr="003F3459">
        <w:rPr>
          <w:color w:val="000000" w:themeColor="text1"/>
        </w:rPr>
        <w:t>2</w:t>
      </w:r>
      <w:r w:rsidR="00271F00" w:rsidRPr="003F3459">
        <w:rPr>
          <w:color w:val="000000" w:themeColor="text1"/>
        </w:rPr>
        <w:tab/>
      </w:r>
      <w:bookmarkEnd w:id="40"/>
      <w:bookmarkEnd w:id="41"/>
      <w:bookmarkEnd w:id="42"/>
      <w:r w:rsidR="0045556F" w:rsidRPr="003F3459">
        <w:rPr>
          <w:color w:val="000000" w:themeColor="text1"/>
        </w:rPr>
        <w:t>R</w:t>
      </w:r>
      <w:r w:rsidR="00707E72" w:rsidRPr="003F3459">
        <w:rPr>
          <w:color w:val="000000" w:themeColor="text1"/>
        </w:rPr>
        <w:t>isk m</w:t>
      </w:r>
      <w:r w:rsidR="008A35FB" w:rsidRPr="003F3459">
        <w:rPr>
          <w:color w:val="000000" w:themeColor="text1"/>
        </w:rPr>
        <w:t>anagement</w:t>
      </w:r>
      <w:bookmarkEnd w:id="43"/>
    </w:p>
    <w:p w14:paraId="5749D334" w14:textId="2D43AAF4" w:rsidR="00E25820" w:rsidRDefault="00280EC8" w:rsidP="00E25820">
      <w:r w:rsidRPr="00174F4E">
        <w:rPr>
          <w:lang w:bidi="ar-SA"/>
        </w:rPr>
        <w:t xml:space="preserve">FSANZ has considered a number of risk management issues, </w:t>
      </w:r>
      <w:r w:rsidR="004A3EB3" w:rsidRPr="00174F4E">
        <w:rPr>
          <w:lang w:bidi="ar-SA"/>
        </w:rPr>
        <w:t>specifically</w:t>
      </w:r>
      <w:r w:rsidRPr="00174F4E">
        <w:rPr>
          <w:lang w:bidi="ar-SA"/>
        </w:rPr>
        <w:t xml:space="preserve"> public health nutrition issues that may arise should foods derived from DHA canola be sold in Australia and New Zealand</w:t>
      </w:r>
      <w:r w:rsidR="004A3EB3" w:rsidRPr="00174F4E">
        <w:rPr>
          <w:lang w:bidi="ar-SA"/>
        </w:rPr>
        <w:t>,</w:t>
      </w:r>
      <w:r w:rsidRPr="00174F4E">
        <w:rPr>
          <w:lang w:bidi="ar-SA"/>
        </w:rPr>
        <w:t xml:space="preserve"> </w:t>
      </w:r>
      <w:r w:rsidR="00076D2F">
        <w:rPr>
          <w:lang w:bidi="ar-SA"/>
        </w:rPr>
        <w:t xml:space="preserve">as well as </w:t>
      </w:r>
      <w:r w:rsidRPr="00174F4E">
        <w:rPr>
          <w:lang w:bidi="ar-SA"/>
        </w:rPr>
        <w:t xml:space="preserve">labelling and detection methodology. </w:t>
      </w:r>
      <w:r w:rsidR="00E25820">
        <w:t xml:space="preserve">The conclusion of the safety assessment of the genetic modification (section 2.1 and SD1) is that food derived from DHA canola is considered to be as safe for human consumption as food derived from conventional canola cultivars. Specific nutrition issues associated with the GM line of DHA canola are discussed below. </w:t>
      </w:r>
    </w:p>
    <w:p w14:paraId="6A3C9AE0" w14:textId="674FDA04" w:rsidR="007B144E" w:rsidRDefault="007B144E" w:rsidP="007B144E">
      <w:pPr>
        <w:pStyle w:val="Heading3"/>
      </w:pPr>
      <w:bookmarkStart w:id="44" w:name="_Toc490726031"/>
      <w:bookmarkStart w:id="45" w:name="_Toc300761910"/>
      <w:r>
        <w:t>2.2.1</w:t>
      </w:r>
      <w:r>
        <w:tab/>
        <w:t xml:space="preserve">Nutrition </w:t>
      </w:r>
      <w:r w:rsidR="00E3210D">
        <w:t>issues</w:t>
      </w:r>
      <w:bookmarkEnd w:id="44"/>
    </w:p>
    <w:p w14:paraId="7A3D04AD" w14:textId="4158E632" w:rsidR="00E25820" w:rsidRPr="00633236" w:rsidRDefault="00C81DAB" w:rsidP="00E25820">
      <w:pPr>
        <w:rPr>
          <w:lang w:bidi="ar-SA"/>
        </w:rPr>
      </w:pPr>
      <w:r w:rsidRPr="00127BFB">
        <w:rPr>
          <w:lang w:eastAsia="en-AU" w:bidi="ar-SA"/>
        </w:rPr>
        <w:t xml:space="preserve">The Applicant proposes that oil derived from DHA canola may be used as a </w:t>
      </w:r>
      <w:r>
        <w:rPr>
          <w:lang w:eastAsia="en-AU" w:bidi="ar-SA"/>
        </w:rPr>
        <w:t>substitute ingredient for omega-</w:t>
      </w:r>
      <w:r w:rsidRPr="00127BFB">
        <w:rPr>
          <w:lang w:eastAsia="en-AU" w:bidi="ar-SA"/>
        </w:rPr>
        <w:t xml:space="preserve">3 </w:t>
      </w:r>
      <w:r>
        <w:rPr>
          <w:lang w:eastAsia="en-AU" w:bidi="ar-SA"/>
        </w:rPr>
        <w:t xml:space="preserve">oil </w:t>
      </w:r>
      <w:r w:rsidRPr="00127BFB">
        <w:rPr>
          <w:lang w:eastAsia="en-AU" w:bidi="ar-SA"/>
        </w:rPr>
        <w:t xml:space="preserve">or fish oil in existing food ingredient markets. As this is a </w:t>
      </w:r>
      <w:r>
        <w:rPr>
          <w:lang w:eastAsia="en-AU" w:bidi="ar-SA"/>
        </w:rPr>
        <w:t>line</w:t>
      </w:r>
      <w:r w:rsidRPr="00127BFB">
        <w:rPr>
          <w:lang w:eastAsia="en-AU" w:bidi="ar-SA"/>
        </w:rPr>
        <w:t xml:space="preserve"> that is not yet commercialised, the market uptake of foods containing DHA canola oil is relatively unknown.</w:t>
      </w:r>
      <w:r>
        <w:rPr>
          <w:lang w:eastAsia="en-AU" w:bidi="ar-SA"/>
        </w:rPr>
        <w:t xml:space="preserve"> </w:t>
      </w:r>
      <w:r w:rsidR="007C76BC">
        <w:rPr>
          <w:lang w:eastAsia="en-AU" w:bidi="ar-SA"/>
        </w:rPr>
        <w:t>The dietary intake assessment</w:t>
      </w:r>
      <w:r w:rsidR="00840975">
        <w:rPr>
          <w:lang w:eastAsia="en-AU" w:bidi="ar-SA"/>
        </w:rPr>
        <w:t xml:space="preserve"> </w:t>
      </w:r>
      <w:r w:rsidR="007D1BBD">
        <w:rPr>
          <w:lang w:eastAsia="en-AU" w:bidi="ar-SA"/>
        </w:rPr>
        <w:t xml:space="preserve">therefore </w:t>
      </w:r>
      <w:r w:rsidR="00840975">
        <w:rPr>
          <w:lang w:eastAsia="en-AU" w:bidi="ar-SA"/>
        </w:rPr>
        <w:t>use</w:t>
      </w:r>
      <w:r w:rsidR="00555EBE">
        <w:rPr>
          <w:lang w:eastAsia="en-AU" w:bidi="ar-SA"/>
        </w:rPr>
        <w:t>d</w:t>
      </w:r>
      <w:r w:rsidR="00F839AE">
        <w:rPr>
          <w:lang w:eastAsia="en-AU" w:bidi="ar-SA"/>
        </w:rPr>
        <w:t xml:space="preserve"> two </w:t>
      </w:r>
      <w:r w:rsidR="00F10F30">
        <w:rPr>
          <w:lang w:eastAsia="en-AU" w:bidi="ar-SA"/>
        </w:rPr>
        <w:t xml:space="preserve">highly </w:t>
      </w:r>
      <w:r w:rsidR="000C0BD9">
        <w:rPr>
          <w:lang w:eastAsia="en-AU" w:bidi="ar-SA"/>
        </w:rPr>
        <w:t>conservative scenarios</w:t>
      </w:r>
      <w:r w:rsidR="005538BC">
        <w:rPr>
          <w:lang w:eastAsia="en-AU" w:bidi="ar-SA"/>
        </w:rPr>
        <w:t>:</w:t>
      </w:r>
      <w:r w:rsidR="000C0BD9">
        <w:rPr>
          <w:lang w:eastAsia="en-AU" w:bidi="ar-SA"/>
        </w:rPr>
        <w:t xml:space="preserve"> </w:t>
      </w:r>
      <w:r w:rsidR="005538BC">
        <w:rPr>
          <w:lang w:eastAsia="en-AU" w:bidi="ar-SA"/>
        </w:rPr>
        <w:t xml:space="preserve">1) </w:t>
      </w:r>
      <w:r w:rsidR="000C0BD9">
        <w:rPr>
          <w:lang w:eastAsia="en-AU" w:bidi="ar-SA"/>
        </w:rPr>
        <w:t xml:space="preserve">DHA </w:t>
      </w:r>
      <w:r w:rsidR="008C76E2">
        <w:rPr>
          <w:lang w:eastAsia="en-AU" w:bidi="ar-SA"/>
        </w:rPr>
        <w:t xml:space="preserve">canola </w:t>
      </w:r>
      <w:r w:rsidR="00F839AE">
        <w:rPr>
          <w:lang w:eastAsia="en-AU" w:bidi="ar-SA"/>
        </w:rPr>
        <w:t xml:space="preserve">oil </w:t>
      </w:r>
      <w:r w:rsidR="000C0BD9">
        <w:rPr>
          <w:lang w:eastAsia="en-AU" w:bidi="ar-SA"/>
        </w:rPr>
        <w:t xml:space="preserve">replaces </w:t>
      </w:r>
      <w:r w:rsidR="00AF18D3">
        <w:rPr>
          <w:lang w:eastAsia="en-AU" w:bidi="ar-SA"/>
        </w:rPr>
        <w:t>all canola</w:t>
      </w:r>
      <w:r w:rsidR="00A07425">
        <w:rPr>
          <w:lang w:eastAsia="en-AU" w:bidi="ar-SA"/>
        </w:rPr>
        <w:t xml:space="preserve"> </w:t>
      </w:r>
      <w:r w:rsidR="00F839AE">
        <w:rPr>
          <w:lang w:eastAsia="en-AU" w:bidi="ar-SA"/>
        </w:rPr>
        <w:t xml:space="preserve">oil </w:t>
      </w:r>
      <w:r w:rsidR="00555EBE">
        <w:rPr>
          <w:lang w:eastAsia="en-AU" w:bidi="ar-SA"/>
        </w:rPr>
        <w:t xml:space="preserve">consumed by </w:t>
      </w:r>
      <w:r w:rsidR="00281FB7">
        <w:rPr>
          <w:lang w:eastAsia="en-AU" w:bidi="ar-SA"/>
        </w:rPr>
        <w:t>Australian and New Ze</w:t>
      </w:r>
      <w:r w:rsidR="00555EBE">
        <w:rPr>
          <w:lang w:eastAsia="en-AU" w:bidi="ar-SA"/>
        </w:rPr>
        <w:t>aland populations</w:t>
      </w:r>
      <w:r w:rsidR="00DB7A22">
        <w:rPr>
          <w:lang w:eastAsia="en-AU" w:bidi="ar-SA"/>
        </w:rPr>
        <w:t xml:space="preserve"> (scenario 1)</w:t>
      </w:r>
      <w:r w:rsidR="005538BC">
        <w:rPr>
          <w:lang w:eastAsia="en-AU" w:bidi="ar-SA"/>
        </w:rPr>
        <w:t>;</w:t>
      </w:r>
      <w:r w:rsidR="00F20865">
        <w:rPr>
          <w:lang w:eastAsia="en-AU" w:bidi="ar-SA"/>
        </w:rPr>
        <w:t xml:space="preserve"> </w:t>
      </w:r>
      <w:r w:rsidR="005538BC">
        <w:rPr>
          <w:lang w:eastAsia="en-AU" w:bidi="ar-SA"/>
        </w:rPr>
        <w:t>and 2) I</w:t>
      </w:r>
      <w:r w:rsidR="00E23CB1">
        <w:rPr>
          <w:lang w:eastAsia="en-AU" w:bidi="ar-SA"/>
        </w:rPr>
        <w:t>n addition</w:t>
      </w:r>
      <w:r w:rsidR="005538BC">
        <w:rPr>
          <w:lang w:eastAsia="en-AU" w:bidi="ar-SA"/>
        </w:rPr>
        <w:t xml:space="preserve"> to </w:t>
      </w:r>
      <w:r w:rsidR="00F20865">
        <w:rPr>
          <w:lang w:eastAsia="en-AU" w:bidi="ar-SA"/>
        </w:rPr>
        <w:t>scenario 1</w:t>
      </w:r>
      <w:r w:rsidR="009F177A">
        <w:rPr>
          <w:lang w:eastAsia="en-AU" w:bidi="ar-SA"/>
        </w:rPr>
        <w:t>,</w:t>
      </w:r>
      <w:r w:rsidR="00127BFB">
        <w:rPr>
          <w:lang w:eastAsia="en-AU" w:bidi="ar-SA"/>
        </w:rPr>
        <w:t xml:space="preserve"> </w:t>
      </w:r>
      <w:r w:rsidR="005538BC">
        <w:rPr>
          <w:lang w:eastAsia="en-AU" w:bidi="ar-SA"/>
        </w:rPr>
        <w:t xml:space="preserve">DHA canola oil </w:t>
      </w:r>
      <w:r w:rsidR="00F20865">
        <w:rPr>
          <w:lang w:eastAsia="en-AU" w:bidi="ar-SA"/>
        </w:rPr>
        <w:t xml:space="preserve">also </w:t>
      </w:r>
      <w:r w:rsidR="000C0BD9">
        <w:rPr>
          <w:lang w:eastAsia="en-AU" w:bidi="ar-SA"/>
        </w:rPr>
        <w:t xml:space="preserve">replaces </w:t>
      </w:r>
      <w:r w:rsidR="00A07425">
        <w:rPr>
          <w:lang w:eastAsia="en-AU" w:bidi="ar-SA"/>
        </w:rPr>
        <w:t xml:space="preserve">30% of </w:t>
      </w:r>
      <w:r w:rsidR="00E23CB1">
        <w:rPr>
          <w:lang w:eastAsia="en-AU" w:bidi="ar-SA"/>
        </w:rPr>
        <w:t xml:space="preserve">all </w:t>
      </w:r>
      <w:r w:rsidR="00A07425">
        <w:rPr>
          <w:lang w:eastAsia="en-AU" w:bidi="ar-SA"/>
        </w:rPr>
        <w:t>non-specifi</w:t>
      </w:r>
      <w:r w:rsidR="001067EE">
        <w:rPr>
          <w:lang w:eastAsia="en-AU" w:bidi="ar-SA"/>
        </w:rPr>
        <w:t xml:space="preserve">ed </w:t>
      </w:r>
      <w:r w:rsidR="002F23C9">
        <w:rPr>
          <w:lang w:eastAsia="en-AU" w:bidi="ar-SA"/>
        </w:rPr>
        <w:t xml:space="preserve">vegetable </w:t>
      </w:r>
      <w:r w:rsidR="001067EE">
        <w:rPr>
          <w:lang w:eastAsia="en-AU" w:bidi="ar-SA"/>
        </w:rPr>
        <w:t>oil</w:t>
      </w:r>
      <w:r w:rsidR="00534F0D">
        <w:rPr>
          <w:lang w:eastAsia="en-AU" w:bidi="ar-SA"/>
        </w:rPr>
        <w:t xml:space="preserve"> (scenario 2)</w:t>
      </w:r>
      <w:r w:rsidR="001067EE">
        <w:rPr>
          <w:lang w:eastAsia="en-AU" w:bidi="ar-SA"/>
        </w:rPr>
        <w:t>.</w:t>
      </w:r>
      <w:r w:rsidR="0070660D">
        <w:rPr>
          <w:lang w:eastAsia="en-AU" w:bidi="ar-SA"/>
        </w:rPr>
        <w:t xml:space="preserve"> </w:t>
      </w:r>
      <w:r w:rsidR="00E25820" w:rsidRPr="00633236">
        <w:rPr>
          <w:lang w:bidi="ar-SA"/>
        </w:rPr>
        <w:t>The assessment estimate</w:t>
      </w:r>
      <w:r w:rsidR="00491407">
        <w:rPr>
          <w:lang w:bidi="ar-SA"/>
        </w:rPr>
        <w:t>d</w:t>
      </w:r>
      <w:r w:rsidR="00E25820" w:rsidRPr="00633236">
        <w:rPr>
          <w:lang w:bidi="ar-SA"/>
        </w:rPr>
        <w:t xml:space="preserve"> intakes </w:t>
      </w:r>
      <w:r w:rsidR="00E25820">
        <w:rPr>
          <w:lang w:bidi="ar-SA"/>
        </w:rPr>
        <w:t>of</w:t>
      </w:r>
      <w:r w:rsidR="00E25820" w:rsidRPr="00633236">
        <w:rPr>
          <w:lang w:bidi="ar-SA"/>
        </w:rPr>
        <w:t xml:space="preserve"> n-3 LC-PUFA </w:t>
      </w:r>
      <w:r w:rsidR="00EF615F">
        <w:rPr>
          <w:lang w:bidi="ar-SA"/>
        </w:rPr>
        <w:t xml:space="preserve">and not </w:t>
      </w:r>
      <w:r w:rsidR="00E25820" w:rsidRPr="00633236">
        <w:rPr>
          <w:lang w:bidi="ar-SA"/>
        </w:rPr>
        <w:t xml:space="preserve">DHA </w:t>
      </w:r>
      <w:r w:rsidR="00EF615F">
        <w:rPr>
          <w:lang w:bidi="ar-SA"/>
        </w:rPr>
        <w:t xml:space="preserve">specifically as </w:t>
      </w:r>
      <w:r w:rsidR="00E25820" w:rsidRPr="00633236">
        <w:rPr>
          <w:lang w:bidi="ar-SA"/>
        </w:rPr>
        <w:t xml:space="preserve">nutrient reference values </w:t>
      </w:r>
      <w:r w:rsidR="00E25820">
        <w:rPr>
          <w:lang w:bidi="ar-SA"/>
        </w:rPr>
        <w:t xml:space="preserve">are </w:t>
      </w:r>
      <w:r w:rsidR="00E25820" w:rsidRPr="00633236">
        <w:rPr>
          <w:lang w:bidi="ar-SA"/>
        </w:rPr>
        <w:t xml:space="preserve">established </w:t>
      </w:r>
      <w:r w:rsidR="00491407" w:rsidRPr="00633236">
        <w:rPr>
          <w:lang w:bidi="ar-SA"/>
        </w:rPr>
        <w:t xml:space="preserve">only </w:t>
      </w:r>
      <w:r w:rsidR="00E25820" w:rsidRPr="00633236">
        <w:rPr>
          <w:lang w:bidi="ar-SA"/>
        </w:rPr>
        <w:t xml:space="preserve">for n-3 LC-PUFA </w:t>
      </w:r>
      <w:r w:rsidR="00EF615F">
        <w:rPr>
          <w:lang w:bidi="ar-SA"/>
        </w:rPr>
        <w:t>as a group</w:t>
      </w:r>
      <w:r w:rsidR="00A725C7">
        <w:rPr>
          <w:lang w:bidi="ar-SA"/>
        </w:rPr>
        <w:t xml:space="preserve"> of long chain fatty acids</w:t>
      </w:r>
      <w:r w:rsidR="00E25820">
        <w:rPr>
          <w:lang w:bidi="ar-SA"/>
        </w:rPr>
        <w:t>.</w:t>
      </w:r>
      <w:r w:rsidR="00491407">
        <w:rPr>
          <w:lang w:bidi="ar-SA"/>
        </w:rPr>
        <w:t xml:space="preserve"> </w:t>
      </w:r>
    </w:p>
    <w:p w14:paraId="14F8BA76" w14:textId="77777777" w:rsidR="00E3210D" w:rsidRDefault="00E3210D" w:rsidP="00580BE5">
      <w:pPr>
        <w:rPr>
          <w:lang w:eastAsia="en-AU" w:bidi="ar-SA"/>
        </w:rPr>
      </w:pPr>
    </w:p>
    <w:p w14:paraId="3A52F9C3" w14:textId="3CAB5750" w:rsidR="00380E7F" w:rsidRDefault="00EC677F" w:rsidP="00380E7F">
      <w:pPr>
        <w:widowControl/>
        <w:rPr>
          <w:lang w:eastAsia="en-AU" w:bidi="ar-SA"/>
        </w:rPr>
      </w:pPr>
      <w:r>
        <w:rPr>
          <w:lang w:eastAsia="en-AU" w:bidi="ar-SA"/>
        </w:rPr>
        <w:t xml:space="preserve">FSANZ </w:t>
      </w:r>
      <w:r w:rsidR="007226EF">
        <w:rPr>
          <w:lang w:eastAsia="en-AU" w:bidi="ar-SA"/>
        </w:rPr>
        <w:t>acknowledges</w:t>
      </w:r>
      <w:r>
        <w:rPr>
          <w:lang w:eastAsia="en-AU" w:bidi="ar-SA"/>
        </w:rPr>
        <w:t xml:space="preserve"> that</w:t>
      </w:r>
      <w:r w:rsidR="002C42BE">
        <w:rPr>
          <w:lang w:eastAsia="en-AU" w:bidi="ar-SA"/>
        </w:rPr>
        <w:t>,</w:t>
      </w:r>
      <w:r w:rsidR="007F2AAB">
        <w:rPr>
          <w:lang w:eastAsia="en-AU" w:bidi="ar-SA"/>
        </w:rPr>
        <w:t xml:space="preserve"> in addition to </w:t>
      </w:r>
      <w:r w:rsidR="00515570">
        <w:rPr>
          <w:lang w:eastAsia="en-AU" w:bidi="ar-SA"/>
        </w:rPr>
        <w:t xml:space="preserve">the </w:t>
      </w:r>
      <w:r w:rsidR="007F2AAB">
        <w:rPr>
          <w:lang w:eastAsia="en-AU" w:bidi="ar-SA"/>
        </w:rPr>
        <w:t>oil,</w:t>
      </w:r>
      <w:r>
        <w:rPr>
          <w:lang w:eastAsia="en-AU" w:bidi="ar-SA"/>
        </w:rPr>
        <w:t xml:space="preserve"> </w:t>
      </w:r>
      <w:r w:rsidR="00145953">
        <w:rPr>
          <w:lang w:eastAsia="en-AU" w:bidi="ar-SA"/>
        </w:rPr>
        <w:t>other foods derived from</w:t>
      </w:r>
      <w:r w:rsidR="007F2AAB">
        <w:rPr>
          <w:lang w:eastAsia="en-AU" w:bidi="ar-SA"/>
        </w:rPr>
        <w:t xml:space="preserve"> the</w:t>
      </w:r>
      <w:r w:rsidR="00145953">
        <w:rPr>
          <w:lang w:eastAsia="en-AU" w:bidi="ar-SA"/>
        </w:rPr>
        <w:t xml:space="preserve"> DHA canola (e.g. </w:t>
      </w:r>
      <w:r w:rsidR="002D61D1">
        <w:rPr>
          <w:lang w:eastAsia="en-AU" w:bidi="ar-SA"/>
        </w:rPr>
        <w:t xml:space="preserve">canola </w:t>
      </w:r>
      <w:r w:rsidR="00B02C09">
        <w:rPr>
          <w:lang w:eastAsia="en-AU" w:bidi="ar-SA"/>
        </w:rPr>
        <w:t>meal or seeds</w:t>
      </w:r>
      <w:r w:rsidR="00145953">
        <w:rPr>
          <w:lang w:eastAsia="en-AU" w:bidi="ar-SA"/>
        </w:rPr>
        <w:t>)</w:t>
      </w:r>
      <w:r w:rsidR="007F2AAB">
        <w:rPr>
          <w:lang w:eastAsia="en-AU" w:bidi="ar-SA"/>
        </w:rPr>
        <w:t xml:space="preserve"> </w:t>
      </w:r>
      <w:r w:rsidR="00D40566">
        <w:rPr>
          <w:lang w:eastAsia="en-AU" w:bidi="ar-SA"/>
        </w:rPr>
        <w:t>could potentially be used in the food supply</w:t>
      </w:r>
      <w:r w:rsidR="00E35C71">
        <w:rPr>
          <w:lang w:eastAsia="en-AU" w:bidi="ar-SA"/>
        </w:rPr>
        <w:t xml:space="preserve">. </w:t>
      </w:r>
      <w:r w:rsidR="0035108B">
        <w:rPr>
          <w:lang w:eastAsia="en-AU" w:bidi="ar-SA"/>
        </w:rPr>
        <w:t>The</w:t>
      </w:r>
      <w:r w:rsidR="007D56E3">
        <w:rPr>
          <w:lang w:eastAsia="en-AU" w:bidi="ar-SA"/>
        </w:rPr>
        <w:t xml:space="preserve"> Applicant </w:t>
      </w:r>
      <w:r w:rsidR="003617FE">
        <w:rPr>
          <w:lang w:eastAsia="en-AU" w:bidi="ar-SA"/>
        </w:rPr>
        <w:t>notes</w:t>
      </w:r>
      <w:r w:rsidR="007D1BBD">
        <w:rPr>
          <w:lang w:eastAsia="en-AU" w:bidi="ar-SA"/>
        </w:rPr>
        <w:t xml:space="preserve"> that</w:t>
      </w:r>
      <w:r w:rsidR="00F625E1">
        <w:rPr>
          <w:lang w:eastAsia="en-AU" w:bidi="ar-SA"/>
        </w:rPr>
        <w:t xml:space="preserve"> </w:t>
      </w:r>
      <w:r w:rsidR="009C3EF3">
        <w:rPr>
          <w:lang w:eastAsia="en-AU" w:bidi="ar-SA"/>
        </w:rPr>
        <w:t xml:space="preserve">DHA canola meal </w:t>
      </w:r>
      <w:r w:rsidR="00F625E1">
        <w:rPr>
          <w:lang w:eastAsia="en-AU" w:bidi="ar-SA"/>
        </w:rPr>
        <w:t xml:space="preserve">would be used in a manner similar to conventional canola meal, </w:t>
      </w:r>
      <w:r w:rsidR="009C3EF3">
        <w:rPr>
          <w:lang w:eastAsia="en-AU" w:bidi="ar-SA"/>
        </w:rPr>
        <w:t>primar</w:t>
      </w:r>
      <w:r w:rsidR="006E511E">
        <w:rPr>
          <w:lang w:eastAsia="en-AU" w:bidi="ar-SA"/>
        </w:rPr>
        <w:t>i</w:t>
      </w:r>
      <w:r w:rsidR="009C3EF3">
        <w:rPr>
          <w:lang w:eastAsia="en-AU" w:bidi="ar-SA"/>
        </w:rPr>
        <w:t xml:space="preserve">ly </w:t>
      </w:r>
      <w:r w:rsidR="007D56E3">
        <w:rPr>
          <w:lang w:eastAsia="en-AU" w:bidi="ar-SA"/>
        </w:rPr>
        <w:t xml:space="preserve">as </w:t>
      </w:r>
      <w:r w:rsidR="009C3EF3">
        <w:rPr>
          <w:lang w:eastAsia="en-AU" w:bidi="ar-SA"/>
        </w:rPr>
        <w:t>animal feed</w:t>
      </w:r>
      <w:r w:rsidR="003617FE">
        <w:rPr>
          <w:lang w:eastAsia="en-AU" w:bidi="ar-SA"/>
        </w:rPr>
        <w:t>,</w:t>
      </w:r>
      <w:r w:rsidR="009C3EF3">
        <w:rPr>
          <w:lang w:eastAsia="en-AU" w:bidi="ar-SA"/>
        </w:rPr>
        <w:t xml:space="preserve"> and that canola meal is rarely used in food products</w:t>
      </w:r>
      <w:r w:rsidR="003617FE">
        <w:rPr>
          <w:lang w:eastAsia="en-AU" w:bidi="ar-SA"/>
        </w:rPr>
        <w:t xml:space="preserve">. </w:t>
      </w:r>
      <w:r w:rsidR="00647936">
        <w:rPr>
          <w:lang w:eastAsia="en-AU" w:bidi="ar-SA"/>
        </w:rPr>
        <w:t>The Applicant also notes that whole canola seed</w:t>
      </w:r>
      <w:r w:rsidR="001B00F3">
        <w:rPr>
          <w:lang w:eastAsia="en-AU" w:bidi="ar-SA"/>
        </w:rPr>
        <w:t xml:space="preserve"> while </w:t>
      </w:r>
      <w:r w:rsidR="00647936">
        <w:rPr>
          <w:lang w:eastAsia="en-AU" w:bidi="ar-SA"/>
        </w:rPr>
        <w:t xml:space="preserve">typically not sold to consumers </w:t>
      </w:r>
      <w:r w:rsidR="001B00F3">
        <w:rPr>
          <w:lang w:eastAsia="en-AU" w:bidi="ar-SA"/>
        </w:rPr>
        <w:t>alone</w:t>
      </w:r>
      <w:r w:rsidR="00647936">
        <w:rPr>
          <w:lang w:eastAsia="en-AU" w:bidi="ar-SA"/>
        </w:rPr>
        <w:t xml:space="preserve"> may be added to commercially-produced bread products</w:t>
      </w:r>
      <w:r w:rsidR="00BC6A5B">
        <w:rPr>
          <w:lang w:eastAsia="en-AU" w:bidi="ar-SA"/>
        </w:rPr>
        <w:t xml:space="preserve">. </w:t>
      </w:r>
      <w:r w:rsidR="00145953">
        <w:rPr>
          <w:lang w:eastAsia="en-AU" w:bidi="ar-SA"/>
        </w:rPr>
        <w:t xml:space="preserve">FSANZ </w:t>
      </w:r>
      <w:r w:rsidR="00FE6B7F">
        <w:rPr>
          <w:lang w:eastAsia="en-AU" w:bidi="ar-SA"/>
        </w:rPr>
        <w:t>therefore expects th</w:t>
      </w:r>
      <w:r w:rsidR="00E043A9">
        <w:rPr>
          <w:lang w:eastAsia="en-AU" w:bidi="ar-SA"/>
        </w:rPr>
        <w:t>at the</w:t>
      </w:r>
      <w:r w:rsidR="00F520F2">
        <w:rPr>
          <w:lang w:eastAsia="en-AU" w:bidi="ar-SA"/>
        </w:rPr>
        <w:t xml:space="preserve"> </w:t>
      </w:r>
      <w:r w:rsidR="00137447">
        <w:rPr>
          <w:lang w:eastAsia="en-AU" w:bidi="ar-SA"/>
        </w:rPr>
        <w:t xml:space="preserve">consumption </w:t>
      </w:r>
      <w:r w:rsidR="00674E11">
        <w:rPr>
          <w:lang w:eastAsia="en-AU" w:bidi="ar-SA"/>
        </w:rPr>
        <w:t xml:space="preserve">of </w:t>
      </w:r>
      <w:r w:rsidR="003617FE">
        <w:rPr>
          <w:lang w:eastAsia="en-AU" w:bidi="ar-SA"/>
        </w:rPr>
        <w:t>foods</w:t>
      </w:r>
      <w:r w:rsidR="00E043A9">
        <w:rPr>
          <w:lang w:eastAsia="en-AU" w:bidi="ar-SA"/>
        </w:rPr>
        <w:t>,</w:t>
      </w:r>
      <w:r w:rsidR="00BF06C9">
        <w:rPr>
          <w:lang w:eastAsia="en-AU" w:bidi="ar-SA"/>
        </w:rPr>
        <w:t xml:space="preserve"> other than </w:t>
      </w:r>
      <w:r w:rsidR="00E043A9">
        <w:rPr>
          <w:lang w:eastAsia="en-AU" w:bidi="ar-SA"/>
        </w:rPr>
        <w:t xml:space="preserve">the </w:t>
      </w:r>
      <w:r w:rsidR="00AC6DC0">
        <w:rPr>
          <w:lang w:eastAsia="en-AU" w:bidi="ar-SA"/>
        </w:rPr>
        <w:t>oil</w:t>
      </w:r>
      <w:r w:rsidR="00E043A9">
        <w:rPr>
          <w:lang w:eastAsia="en-AU" w:bidi="ar-SA"/>
        </w:rPr>
        <w:t>,</w:t>
      </w:r>
      <w:r w:rsidR="00241911">
        <w:rPr>
          <w:lang w:eastAsia="en-AU" w:bidi="ar-SA"/>
        </w:rPr>
        <w:t xml:space="preserve"> </w:t>
      </w:r>
      <w:r w:rsidR="00674E11">
        <w:rPr>
          <w:lang w:eastAsia="en-AU" w:bidi="ar-SA"/>
        </w:rPr>
        <w:t xml:space="preserve">derived from DHA canola </w:t>
      </w:r>
      <w:r w:rsidR="00F520F2">
        <w:rPr>
          <w:lang w:eastAsia="en-AU" w:bidi="ar-SA"/>
        </w:rPr>
        <w:t xml:space="preserve">in Australia and New Zealand </w:t>
      </w:r>
      <w:r w:rsidR="00145953">
        <w:rPr>
          <w:lang w:eastAsia="en-AU" w:bidi="ar-SA"/>
        </w:rPr>
        <w:t xml:space="preserve">would </w:t>
      </w:r>
      <w:r w:rsidR="00AB4C33">
        <w:rPr>
          <w:lang w:eastAsia="en-AU" w:bidi="ar-SA"/>
        </w:rPr>
        <w:t xml:space="preserve">be </w:t>
      </w:r>
      <w:r w:rsidR="00D86326">
        <w:rPr>
          <w:lang w:eastAsia="en-AU" w:bidi="ar-SA"/>
        </w:rPr>
        <w:t>minor</w:t>
      </w:r>
      <w:r w:rsidR="005F2156">
        <w:rPr>
          <w:lang w:eastAsia="en-AU" w:bidi="ar-SA"/>
        </w:rPr>
        <w:t xml:space="preserve">. </w:t>
      </w:r>
      <w:r w:rsidR="00FE6B7F">
        <w:rPr>
          <w:lang w:eastAsia="en-AU" w:bidi="ar-SA"/>
        </w:rPr>
        <w:t>G</w:t>
      </w:r>
      <w:r w:rsidR="005F2156">
        <w:rPr>
          <w:lang w:eastAsia="en-AU" w:bidi="ar-SA"/>
        </w:rPr>
        <w:t>iven the highly conservative scenarios</w:t>
      </w:r>
      <w:r w:rsidR="00D86326">
        <w:rPr>
          <w:lang w:eastAsia="en-AU" w:bidi="ar-SA"/>
        </w:rPr>
        <w:t xml:space="preserve"> used </w:t>
      </w:r>
      <w:r w:rsidR="00515570">
        <w:rPr>
          <w:lang w:eastAsia="en-AU" w:bidi="ar-SA"/>
        </w:rPr>
        <w:t xml:space="preserve">in </w:t>
      </w:r>
      <w:r w:rsidR="007C76BC">
        <w:rPr>
          <w:lang w:eastAsia="en-AU" w:bidi="ar-SA"/>
        </w:rPr>
        <w:t>the dietary intake assessment</w:t>
      </w:r>
      <w:r w:rsidR="00515570">
        <w:rPr>
          <w:lang w:eastAsia="en-AU" w:bidi="ar-SA"/>
        </w:rPr>
        <w:t xml:space="preserve">, </w:t>
      </w:r>
      <w:r w:rsidR="00FE6B7F">
        <w:rPr>
          <w:lang w:eastAsia="en-AU" w:bidi="ar-SA"/>
        </w:rPr>
        <w:t xml:space="preserve">the </w:t>
      </w:r>
      <w:r w:rsidR="006E5E0A">
        <w:rPr>
          <w:lang w:eastAsia="en-AU" w:bidi="ar-SA"/>
        </w:rPr>
        <w:t xml:space="preserve">minor </w:t>
      </w:r>
      <w:r w:rsidR="00D86326">
        <w:rPr>
          <w:lang w:eastAsia="en-AU" w:bidi="ar-SA"/>
        </w:rPr>
        <w:t xml:space="preserve">consumption of other foods derived from DHA canola </w:t>
      </w:r>
      <w:r w:rsidR="00E43679">
        <w:rPr>
          <w:lang w:eastAsia="en-AU" w:bidi="ar-SA"/>
        </w:rPr>
        <w:t xml:space="preserve">would </w:t>
      </w:r>
      <w:r w:rsidR="00D86326">
        <w:rPr>
          <w:lang w:eastAsia="en-AU" w:bidi="ar-SA"/>
        </w:rPr>
        <w:t xml:space="preserve">be </w:t>
      </w:r>
      <w:r w:rsidR="00E43679">
        <w:rPr>
          <w:lang w:eastAsia="en-AU" w:bidi="ar-SA"/>
        </w:rPr>
        <w:t xml:space="preserve">unlikely </w:t>
      </w:r>
      <w:r w:rsidR="00D86326">
        <w:rPr>
          <w:lang w:eastAsia="en-AU" w:bidi="ar-SA"/>
        </w:rPr>
        <w:t xml:space="preserve">to </w:t>
      </w:r>
      <w:r w:rsidR="00672D94">
        <w:rPr>
          <w:lang w:eastAsia="en-AU" w:bidi="ar-SA"/>
        </w:rPr>
        <w:t>increase</w:t>
      </w:r>
      <w:r w:rsidR="00445B90">
        <w:rPr>
          <w:lang w:eastAsia="en-AU" w:bidi="ar-SA"/>
        </w:rPr>
        <w:t xml:space="preserve"> </w:t>
      </w:r>
      <w:r w:rsidR="00380E7F">
        <w:rPr>
          <w:lang w:eastAsia="en-AU" w:bidi="ar-SA"/>
        </w:rPr>
        <w:t>population intakes of n-3 LC-PUFA</w:t>
      </w:r>
      <w:r w:rsidR="00FE6B7F">
        <w:rPr>
          <w:lang w:eastAsia="en-AU" w:bidi="ar-SA"/>
        </w:rPr>
        <w:t xml:space="preserve"> </w:t>
      </w:r>
      <w:r w:rsidR="00445B90">
        <w:rPr>
          <w:lang w:eastAsia="en-AU" w:bidi="ar-SA"/>
        </w:rPr>
        <w:t xml:space="preserve">to levels </w:t>
      </w:r>
      <w:r w:rsidR="00FE6B7F">
        <w:rPr>
          <w:lang w:eastAsia="en-AU" w:bidi="ar-SA"/>
        </w:rPr>
        <w:t>of concern</w:t>
      </w:r>
      <w:r w:rsidR="00173E26">
        <w:rPr>
          <w:lang w:eastAsia="en-AU" w:bidi="ar-SA"/>
        </w:rPr>
        <w:t>.</w:t>
      </w:r>
    </w:p>
    <w:p w14:paraId="40ABA3D2" w14:textId="2D62941F" w:rsidR="00373C1A" w:rsidRDefault="00373C1A" w:rsidP="00380E7F">
      <w:pPr>
        <w:widowControl/>
        <w:rPr>
          <w:lang w:eastAsia="en-AU" w:bidi="ar-SA"/>
        </w:rPr>
      </w:pPr>
    </w:p>
    <w:p w14:paraId="1AE3B9FB" w14:textId="636B7470" w:rsidR="00373C1A" w:rsidRDefault="00373C1A" w:rsidP="00373C1A">
      <w:r w:rsidRPr="006D1AC5">
        <w:rPr>
          <w:color w:val="000000" w:themeColor="text1"/>
        </w:rPr>
        <w:t>DHA canola seed</w:t>
      </w:r>
      <w:r w:rsidR="00E35FAB">
        <w:rPr>
          <w:color w:val="000000" w:themeColor="text1"/>
        </w:rPr>
        <w:t>s</w:t>
      </w:r>
      <w:r w:rsidRPr="006D1AC5">
        <w:rPr>
          <w:color w:val="000000" w:themeColor="text1"/>
        </w:rPr>
        <w:t xml:space="preserve"> </w:t>
      </w:r>
      <w:r w:rsidR="00BA11A7">
        <w:rPr>
          <w:color w:val="000000" w:themeColor="text1"/>
        </w:rPr>
        <w:t>were found to have a</w:t>
      </w:r>
      <w:r w:rsidRPr="006D1AC5">
        <w:rPr>
          <w:color w:val="000000" w:themeColor="text1"/>
        </w:rPr>
        <w:t xml:space="preserve"> significantly</w:t>
      </w:r>
      <w:r>
        <w:rPr>
          <w:color w:val="000000" w:themeColor="text1"/>
        </w:rPr>
        <w:t xml:space="preserve"> higher level </w:t>
      </w:r>
      <w:r w:rsidR="001B3464">
        <w:rPr>
          <w:color w:val="000000" w:themeColor="text1"/>
        </w:rPr>
        <w:t xml:space="preserve">of </w:t>
      </w:r>
      <w:r w:rsidR="00BA11A7">
        <w:rPr>
          <w:color w:val="000000" w:themeColor="text1"/>
        </w:rPr>
        <w:t xml:space="preserve">total </w:t>
      </w:r>
      <w:proofErr w:type="gramStart"/>
      <w:r w:rsidR="001B3464" w:rsidRPr="00BA11A7">
        <w:rPr>
          <w:i/>
          <w:color w:val="000000" w:themeColor="text1"/>
        </w:rPr>
        <w:t>t</w:t>
      </w:r>
      <w:r w:rsidR="001B3464" w:rsidRPr="006D1AC5">
        <w:rPr>
          <w:rFonts w:cs="Arial"/>
          <w:i/>
          <w:color w:val="000000" w:themeColor="text1"/>
          <w:szCs w:val="22"/>
        </w:rPr>
        <w:t>rans</w:t>
      </w:r>
      <w:proofErr w:type="gramEnd"/>
      <w:r w:rsidR="001B3464" w:rsidRPr="006D1AC5">
        <w:rPr>
          <w:rFonts w:cs="Arial"/>
          <w:color w:val="000000" w:themeColor="text1"/>
          <w:szCs w:val="22"/>
        </w:rPr>
        <w:t xml:space="preserve"> fatty acids </w:t>
      </w:r>
      <w:r>
        <w:rPr>
          <w:color w:val="000000" w:themeColor="text1"/>
        </w:rPr>
        <w:t xml:space="preserve">than </w:t>
      </w:r>
      <w:r w:rsidR="00BA11A7">
        <w:rPr>
          <w:color w:val="000000" w:themeColor="text1"/>
        </w:rPr>
        <w:t xml:space="preserve">that found in </w:t>
      </w:r>
      <w:r>
        <w:rPr>
          <w:color w:val="000000" w:themeColor="text1"/>
        </w:rPr>
        <w:t xml:space="preserve">the </w:t>
      </w:r>
      <w:r w:rsidR="00BA11A7">
        <w:rPr>
          <w:color w:val="000000" w:themeColor="text1"/>
        </w:rPr>
        <w:t xml:space="preserve">parental </w:t>
      </w:r>
      <w:r>
        <w:rPr>
          <w:color w:val="000000" w:themeColor="text1"/>
        </w:rPr>
        <w:t>non-GM control</w:t>
      </w:r>
      <w:r w:rsidR="00BA11A7">
        <w:rPr>
          <w:color w:val="000000" w:themeColor="text1"/>
        </w:rPr>
        <w:t xml:space="preserve"> and other</w:t>
      </w:r>
      <w:r>
        <w:rPr>
          <w:color w:val="000000" w:themeColor="text1"/>
        </w:rPr>
        <w:t xml:space="preserve"> commercial non-GM canola lines</w:t>
      </w:r>
      <w:r w:rsidRPr="006D1AC5">
        <w:rPr>
          <w:color w:val="000000" w:themeColor="text1"/>
        </w:rPr>
        <w:t xml:space="preserve">. </w:t>
      </w:r>
      <w:r w:rsidR="00BA11A7">
        <w:rPr>
          <w:color w:val="000000" w:themeColor="text1"/>
        </w:rPr>
        <w:t xml:space="preserve">Although the level was increased, </w:t>
      </w:r>
      <w:r w:rsidRPr="006D1AC5">
        <w:rPr>
          <w:color w:val="000000" w:themeColor="text1"/>
        </w:rPr>
        <w:t xml:space="preserve">the </w:t>
      </w:r>
      <w:r w:rsidR="00BA11A7">
        <w:rPr>
          <w:color w:val="000000" w:themeColor="text1"/>
        </w:rPr>
        <w:t>total</w:t>
      </w:r>
      <w:r w:rsidRPr="006D1AC5">
        <w:rPr>
          <w:color w:val="000000" w:themeColor="text1"/>
        </w:rPr>
        <w:t xml:space="preserve"> </w:t>
      </w:r>
      <w:proofErr w:type="spellStart"/>
      <w:proofErr w:type="gramStart"/>
      <w:r w:rsidRPr="006D1AC5">
        <w:rPr>
          <w:i/>
          <w:color w:val="000000" w:themeColor="text1"/>
        </w:rPr>
        <w:t>trans</w:t>
      </w:r>
      <w:proofErr w:type="gramEnd"/>
      <w:r w:rsidRPr="006D1AC5">
        <w:rPr>
          <w:color w:val="000000" w:themeColor="text1"/>
        </w:rPr>
        <w:t xml:space="preserve"> fat</w:t>
      </w:r>
      <w:proofErr w:type="spellEnd"/>
      <w:r w:rsidRPr="006D1AC5">
        <w:rPr>
          <w:color w:val="000000" w:themeColor="text1"/>
        </w:rPr>
        <w:t xml:space="preserve"> level in </w:t>
      </w:r>
      <w:r w:rsidR="00BA11A7">
        <w:rPr>
          <w:color w:val="000000" w:themeColor="text1"/>
        </w:rPr>
        <w:t xml:space="preserve">the </w:t>
      </w:r>
      <w:r w:rsidRPr="006D1AC5">
        <w:rPr>
          <w:color w:val="000000" w:themeColor="text1"/>
        </w:rPr>
        <w:t xml:space="preserve">DHA canola seed </w:t>
      </w:r>
      <w:r w:rsidR="00BA11A7">
        <w:rPr>
          <w:color w:val="000000" w:themeColor="text1"/>
        </w:rPr>
        <w:t xml:space="preserve">was below </w:t>
      </w:r>
      <w:r w:rsidR="00914A70">
        <w:rPr>
          <w:color w:val="000000" w:themeColor="text1"/>
        </w:rPr>
        <w:t>1%</w:t>
      </w:r>
      <w:r w:rsidR="00C81DAB">
        <w:rPr>
          <w:color w:val="000000" w:themeColor="text1"/>
        </w:rPr>
        <w:t xml:space="preserve">. </w:t>
      </w:r>
      <w:r w:rsidR="00F20865">
        <w:rPr>
          <w:color w:val="000000" w:themeColor="text1"/>
        </w:rPr>
        <w:t>As canola oils</w:t>
      </w:r>
      <w:r w:rsidR="00914A70">
        <w:rPr>
          <w:color w:val="000000" w:themeColor="text1"/>
        </w:rPr>
        <w:t xml:space="preserve"> are diluted when used, the overall level of </w:t>
      </w:r>
      <w:proofErr w:type="gramStart"/>
      <w:r w:rsidR="00914A70" w:rsidRPr="00914A70">
        <w:rPr>
          <w:i/>
          <w:color w:val="000000" w:themeColor="text1"/>
        </w:rPr>
        <w:t>trans</w:t>
      </w:r>
      <w:proofErr w:type="gramEnd"/>
      <w:r w:rsidR="00914A70">
        <w:rPr>
          <w:color w:val="000000" w:themeColor="text1"/>
        </w:rPr>
        <w:t xml:space="preserve"> fatty acids consumed would also be further reduced.</w:t>
      </w:r>
      <w:r w:rsidR="00E35FAB">
        <w:rPr>
          <w:color w:val="000000" w:themeColor="text1"/>
        </w:rPr>
        <w:t xml:space="preserve"> Furthermore, </w:t>
      </w:r>
      <w:proofErr w:type="gramStart"/>
      <w:r w:rsidR="00E35FAB">
        <w:rPr>
          <w:i/>
          <w:color w:val="000000" w:themeColor="text1"/>
        </w:rPr>
        <w:t>t</w:t>
      </w:r>
      <w:r w:rsidR="00F20865" w:rsidRPr="00F20865">
        <w:rPr>
          <w:i/>
          <w:color w:val="000000" w:themeColor="text1"/>
        </w:rPr>
        <w:t>rans</w:t>
      </w:r>
      <w:proofErr w:type="gramEnd"/>
      <w:r w:rsidR="00F20865">
        <w:rPr>
          <w:color w:val="000000" w:themeColor="text1"/>
        </w:rPr>
        <w:t xml:space="preserve"> fatty acids are present in other refined non-GM vegetable oils, including soybean, sunflower and rice oils, </w:t>
      </w:r>
      <w:r w:rsidR="00E35FAB">
        <w:rPr>
          <w:color w:val="000000" w:themeColor="text1"/>
        </w:rPr>
        <w:t>and</w:t>
      </w:r>
      <w:r w:rsidR="00F20865">
        <w:rPr>
          <w:color w:val="000000" w:themeColor="text1"/>
        </w:rPr>
        <w:t xml:space="preserve"> the </w:t>
      </w:r>
      <w:r w:rsidR="00E35FAB" w:rsidRPr="00E35FAB">
        <w:rPr>
          <w:i/>
          <w:color w:val="000000" w:themeColor="text1"/>
        </w:rPr>
        <w:t>trans</w:t>
      </w:r>
      <w:r w:rsidR="00E35FAB">
        <w:rPr>
          <w:color w:val="000000" w:themeColor="text1"/>
        </w:rPr>
        <w:t xml:space="preserve"> fatty acid content of </w:t>
      </w:r>
      <w:r w:rsidR="00F20865">
        <w:rPr>
          <w:color w:val="000000" w:themeColor="text1"/>
        </w:rPr>
        <w:t xml:space="preserve">DHA </w:t>
      </w:r>
      <w:r w:rsidR="00E35FAB">
        <w:rPr>
          <w:color w:val="000000" w:themeColor="text1"/>
        </w:rPr>
        <w:t>c</w:t>
      </w:r>
      <w:r w:rsidR="00F20865">
        <w:rPr>
          <w:color w:val="000000" w:themeColor="text1"/>
        </w:rPr>
        <w:t xml:space="preserve">anola </w:t>
      </w:r>
      <w:r w:rsidR="00F20865" w:rsidRPr="006D1AC5">
        <w:t>is not expected to vary significantly from</w:t>
      </w:r>
      <w:r w:rsidR="00E35FAB">
        <w:t xml:space="preserve"> these</w:t>
      </w:r>
      <w:r w:rsidR="00F20865" w:rsidRPr="006D1AC5">
        <w:t xml:space="preserve"> other retail vegetable </w:t>
      </w:r>
      <w:r w:rsidR="00F20865" w:rsidRPr="009973BA">
        <w:t>oils</w:t>
      </w:r>
      <w:r w:rsidR="009973BA">
        <w:t>.</w:t>
      </w:r>
      <w:r w:rsidR="00C81DAB" w:rsidRPr="009973BA">
        <w:t xml:space="preserve"> </w:t>
      </w:r>
      <w:r w:rsidR="00E35FAB">
        <w:t xml:space="preserve">Finally, </w:t>
      </w:r>
      <w:r w:rsidR="00E35FAB">
        <w:rPr>
          <w:color w:val="000000" w:themeColor="text1"/>
        </w:rPr>
        <w:t>a</w:t>
      </w:r>
      <w:r w:rsidRPr="006D1AC5">
        <w:rPr>
          <w:color w:val="000000" w:themeColor="text1"/>
        </w:rPr>
        <w:t xml:space="preserve"> consideration of the consumption data of </w:t>
      </w:r>
      <w:proofErr w:type="gramStart"/>
      <w:r w:rsidRPr="006D1AC5">
        <w:rPr>
          <w:i/>
          <w:color w:val="000000" w:themeColor="text1"/>
        </w:rPr>
        <w:t>trans</w:t>
      </w:r>
      <w:proofErr w:type="gramEnd"/>
      <w:r w:rsidRPr="006D1AC5">
        <w:rPr>
          <w:color w:val="000000" w:themeColor="text1"/>
        </w:rPr>
        <w:t xml:space="preserve"> fatty acids in the Australian and New Zealand diets </w:t>
      </w:r>
      <w:r>
        <w:rPr>
          <w:color w:val="000000" w:themeColor="text1"/>
        </w:rPr>
        <w:t xml:space="preserve">(see </w:t>
      </w:r>
      <w:r w:rsidR="002C42BE">
        <w:rPr>
          <w:color w:val="000000" w:themeColor="text1"/>
        </w:rPr>
        <w:t xml:space="preserve">section 6.1 of </w:t>
      </w:r>
      <w:r>
        <w:rPr>
          <w:color w:val="000000" w:themeColor="text1"/>
        </w:rPr>
        <w:t xml:space="preserve">SD1) </w:t>
      </w:r>
      <w:r w:rsidRPr="006D1AC5">
        <w:rPr>
          <w:color w:val="000000" w:themeColor="text1"/>
        </w:rPr>
        <w:t>indicates</w:t>
      </w:r>
      <w:r>
        <w:t xml:space="preserve"> consumption of food derived from</w:t>
      </w:r>
      <w:r w:rsidRPr="006D1AC5">
        <w:t xml:space="preserve"> </w:t>
      </w:r>
      <w:r>
        <w:t>DHA canola</w:t>
      </w:r>
      <w:r w:rsidRPr="006D1AC5">
        <w:t xml:space="preserve"> does not pose a public health concern.</w:t>
      </w:r>
    </w:p>
    <w:p w14:paraId="5312A7F9" w14:textId="73E5226F" w:rsidR="009F177A" w:rsidRDefault="009F177A" w:rsidP="00373C1A"/>
    <w:p w14:paraId="6ED5AFBB" w14:textId="635AB285" w:rsidR="00912A18" w:rsidRDefault="00912A18" w:rsidP="00373C1A">
      <w:pPr>
        <w:rPr>
          <w:lang w:eastAsia="en-AU" w:bidi="ar-SA"/>
        </w:rPr>
      </w:pPr>
      <w:r w:rsidRPr="00AC64BD">
        <w:rPr>
          <w:lang w:eastAsia="en-AU" w:bidi="ar-SA"/>
        </w:rPr>
        <w:t xml:space="preserve">FSANZ therefore concludes that permitting any food derived from DHA canola to be sold in Australia and New Zealand poses no </w:t>
      </w:r>
      <w:r>
        <w:rPr>
          <w:lang w:eastAsia="en-AU" w:bidi="ar-SA"/>
        </w:rPr>
        <w:t xml:space="preserve">nutritional </w:t>
      </w:r>
      <w:r w:rsidRPr="00AC64BD">
        <w:rPr>
          <w:lang w:eastAsia="en-AU" w:bidi="ar-SA"/>
        </w:rPr>
        <w:t xml:space="preserve">public health </w:t>
      </w:r>
      <w:r>
        <w:rPr>
          <w:lang w:eastAsia="en-AU" w:bidi="ar-SA"/>
        </w:rPr>
        <w:t xml:space="preserve">risk </w:t>
      </w:r>
      <w:r w:rsidRPr="00AC64BD">
        <w:rPr>
          <w:lang w:eastAsia="en-AU" w:bidi="ar-SA"/>
        </w:rPr>
        <w:t>as a result of increased n-3 LC-PUFA</w:t>
      </w:r>
      <w:r>
        <w:rPr>
          <w:lang w:eastAsia="en-AU" w:bidi="ar-SA"/>
        </w:rPr>
        <w:t>.</w:t>
      </w:r>
    </w:p>
    <w:p w14:paraId="6B3303AB" w14:textId="77777777" w:rsidR="00912A18" w:rsidRDefault="00912A18" w:rsidP="00373C1A"/>
    <w:p w14:paraId="27B61178" w14:textId="0727969A" w:rsidR="00890E6A" w:rsidRDefault="00513C20">
      <w:pPr>
        <w:widowControl/>
      </w:pPr>
      <w:r>
        <w:t xml:space="preserve">Chapter 2 of the Code, </w:t>
      </w:r>
      <w:hyperlink r:id="rId21" w:history="1">
        <w:r w:rsidR="00647936" w:rsidRPr="00735A36">
          <w:rPr>
            <w:rStyle w:val="Hyperlink"/>
          </w:rPr>
          <w:t>Standard 2.9.1 – Infant Formula Products</w:t>
        </w:r>
      </w:hyperlink>
      <w:r w:rsidR="00647936">
        <w:rPr>
          <w:rStyle w:val="FootnoteReference"/>
        </w:rPr>
        <w:footnoteReference w:id="3"/>
      </w:r>
      <w:r w:rsidR="00647936">
        <w:t xml:space="preserve"> </w:t>
      </w:r>
      <w:r w:rsidR="009F177A">
        <w:t>regulates the fatty acid content of infant formula products. In 201</w:t>
      </w:r>
      <w:r w:rsidR="009973BA">
        <w:t>7</w:t>
      </w:r>
      <w:r w:rsidR="009F177A">
        <w:t xml:space="preserve">, FSANZ assessed </w:t>
      </w:r>
      <w:r w:rsidR="009973BA">
        <w:t xml:space="preserve">Application </w:t>
      </w:r>
      <w:r w:rsidR="009F177A">
        <w:t xml:space="preserve">A1124 – Alternative DHA-rich Algal Oil for Infant Formula Products which approved the use of </w:t>
      </w:r>
      <w:r w:rsidR="009973BA" w:rsidRPr="00B21422">
        <w:rPr>
          <w:lang w:eastAsia="en-AU"/>
        </w:rPr>
        <w:t xml:space="preserve">DHA </w:t>
      </w:r>
      <w:r w:rsidR="00594338">
        <w:rPr>
          <w:lang w:eastAsia="en-AU"/>
        </w:rPr>
        <w:t xml:space="preserve">rich </w:t>
      </w:r>
      <w:r w:rsidR="009973BA" w:rsidRPr="00B21422">
        <w:rPr>
          <w:lang w:eastAsia="en-AU"/>
        </w:rPr>
        <w:t xml:space="preserve">oil </w:t>
      </w:r>
      <w:r w:rsidR="009973BA" w:rsidRPr="00B21422">
        <w:rPr>
          <w:szCs w:val="22"/>
        </w:rPr>
        <w:t xml:space="preserve">from a new production strain of </w:t>
      </w:r>
      <w:proofErr w:type="spellStart"/>
      <w:r w:rsidR="009973BA" w:rsidRPr="00B21422">
        <w:rPr>
          <w:i/>
          <w:lang w:eastAsia="en-AU" w:bidi="ar-SA"/>
        </w:rPr>
        <w:t>Schizochytrium</w:t>
      </w:r>
      <w:proofErr w:type="spellEnd"/>
      <w:r w:rsidR="009973BA" w:rsidRPr="00B21422">
        <w:rPr>
          <w:lang w:eastAsia="en-AU" w:bidi="ar-SA"/>
        </w:rPr>
        <w:t xml:space="preserve"> sp.</w:t>
      </w:r>
      <w:r w:rsidR="009973BA" w:rsidRPr="00B21422">
        <w:rPr>
          <w:szCs w:val="22"/>
        </w:rPr>
        <w:t xml:space="preserve"> known as </w:t>
      </w:r>
      <w:r w:rsidR="009973BA" w:rsidRPr="00B21422">
        <w:t>American Type Cell Culture (</w:t>
      </w:r>
      <w:r w:rsidR="009973BA" w:rsidRPr="00B21422">
        <w:rPr>
          <w:szCs w:val="22"/>
        </w:rPr>
        <w:t>ATCC) PTA-96</w:t>
      </w:r>
      <w:r w:rsidR="009973BA">
        <w:rPr>
          <w:szCs w:val="22"/>
        </w:rPr>
        <w:t>9</w:t>
      </w:r>
      <w:r w:rsidR="009973BA" w:rsidRPr="00B21422">
        <w:rPr>
          <w:szCs w:val="22"/>
        </w:rPr>
        <w:t>5</w:t>
      </w:r>
      <w:r w:rsidR="009973BA">
        <w:rPr>
          <w:lang w:eastAsia="en-AU"/>
        </w:rPr>
        <w:t xml:space="preserve"> </w:t>
      </w:r>
      <w:r w:rsidR="009F177A">
        <w:t xml:space="preserve">in infant formula products. </w:t>
      </w:r>
      <w:r w:rsidR="00890E6A">
        <w:br w:type="page"/>
      </w:r>
    </w:p>
    <w:p w14:paraId="2810A555" w14:textId="79E0693B" w:rsidR="00445B90" w:rsidRDefault="009F177A" w:rsidP="00E35FAB">
      <w:pPr>
        <w:widowControl/>
        <w:ind w:right="-2"/>
      </w:pPr>
      <w:r>
        <w:lastRenderedPageBreak/>
        <w:t>The assessment had r</w:t>
      </w:r>
      <w:r w:rsidR="00647936">
        <w:t>egard to the Policy Guideline</w:t>
      </w:r>
      <w:r>
        <w:t xml:space="preserve"> </w:t>
      </w:r>
      <w:r w:rsidR="00647936" w:rsidRPr="00C03532">
        <w:rPr>
          <w:szCs w:val="22"/>
        </w:rPr>
        <w:t>on</w:t>
      </w:r>
      <w:r w:rsidR="00647936" w:rsidRPr="00C03532">
        <w:rPr>
          <w:i/>
          <w:szCs w:val="22"/>
        </w:rPr>
        <w:t xml:space="preserve"> </w:t>
      </w:r>
      <w:hyperlink r:id="rId22" w:history="1">
        <w:r w:rsidR="00647936" w:rsidRPr="00C03532">
          <w:rPr>
            <w:rStyle w:val="Hyperlink"/>
            <w:i/>
            <w:szCs w:val="22"/>
          </w:rPr>
          <w:t>Regulation of Infant Formula Products</w:t>
        </w:r>
      </w:hyperlink>
      <w:r w:rsidR="00647936">
        <w:rPr>
          <w:rStyle w:val="FootnoteReference"/>
          <w:szCs w:val="22"/>
        </w:rPr>
        <w:footnoteReference w:id="4"/>
      </w:r>
      <w:r w:rsidR="00C801EE">
        <w:rPr>
          <w:rStyle w:val="Hyperlink"/>
          <w:i/>
          <w:szCs w:val="22"/>
        </w:rPr>
        <w:t xml:space="preserve"> </w:t>
      </w:r>
      <w:r>
        <w:t xml:space="preserve">and reviewed studies </w:t>
      </w:r>
      <w:r w:rsidR="00B71D15">
        <w:t xml:space="preserve">of this particular oil in relation </w:t>
      </w:r>
      <w:r>
        <w:t xml:space="preserve">to infant health. </w:t>
      </w:r>
      <w:r w:rsidR="00594338">
        <w:t xml:space="preserve">However, </w:t>
      </w:r>
      <w:r w:rsidR="002C42BE">
        <w:t>in relation to the</w:t>
      </w:r>
      <w:r w:rsidR="000F3068">
        <w:t xml:space="preserve"> assessment</w:t>
      </w:r>
      <w:r w:rsidR="002C42BE">
        <w:t xml:space="preserve"> of A1143</w:t>
      </w:r>
      <w:r w:rsidR="000F3068">
        <w:t xml:space="preserve">, </w:t>
      </w:r>
      <w:r w:rsidR="009973BA">
        <w:t>n</w:t>
      </w:r>
      <w:r>
        <w:t xml:space="preserve">o such studies are available on the use of </w:t>
      </w:r>
      <w:r w:rsidR="00594338">
        <w:t xml:space="preserve">the </w:t>
      </w:r>
      <w:r>
        <w:t xml:space="preserve">DHA canola oil </w:t>
      </w:r>
      <w:r w:rsidR="00E25820">
        <w:t>and</w:t>
      </w:r>
      <w:r>
        <w:t xml:space="preserve"> infant health. </w:t>
      </w:r>
      <w:r w:rsidR="00B71D15">
        <w:t xml:space="preserve">Therefore </w:t>
      </w:r>
      <w:r w:rsidR="002F6B6B">
        <w:t xml:space="preserve">FSANZ is not proposing </w:t>
      </w:r>
      <w:r w:rsidR="00B71D15">
        <w:t xml:space="preserve">to permit the use of </w:t>
      </w:r>
      <w:r w:rsidR="00952EF6">
        <w:t>oil</w:t>
      </w:r>
      <w:r w:rsidR="00B71D15">
        <w:t xml:space="preserve"> derived from DHA canola in infant formula products.</w:t>
      </w:r>
      <w:r w:rsidR="002F6B6B">
        <w:t xml:space="preserve"> </w:t>
      </w:r>
      <w:r w:rsidR="002F6B6B">
        <w:rPr>
          <w:lang w:eastAsia="en-AU" w:bidi="ar-SA"/>
        </w:rPr>
        <w:t xml:space="preserve">The </w:t>
      </w:r>
      <w:r w:rsidR="002F6B6B" w:rsidRPr="00AC64BD">
        <w:rPr>
          <w:lang w:eastAsia="en-AU" w:bidi="ar-SA"/>
        </w:rPr>
        <w:t>exclusion of the oil from infant formula products is based on a lack of sp</w:t>
      </w:r>
      <w:r w:rsidR="002F6B6B">
        <w:rPr>
          <w:lang w:eastAsia="en-AU" w:bidi="ar-SA"/>
        </w:rPr>
        <w:t>ecific data in Application A1143</w:t>
      </w:r>
      <w:r w:rsidR="002F6B6B" w:rsidRPr="00AC64BD">
        <w:rPr>
          <w:lang w:eastAsia="en-AU" w:bidi="ar-SA"/>
        </w:rPr>
        <w:t xml:space="preserve"> regarding use in infant formula products, rather than from any identified safety concern.</w:t>
      </w:r>
    </w:p>
    <w:p w14:paraId="5A356534" w14:textId="40A21924" w:rsidR="007B144E" w:rsidRPr="00850459" w:rsidRDefault="007B144E" w:rsidP="007B144E">
      <w:pPr>
        <w:pStyle w:val="Heading3"/>
      </w:pPr>
      <w:bookmarkStart w:id="46" w:name="_Toc490726032"/>
      <w:r w:rsidRPr="00850459">
        <w:t>2.2.</w:t>
      </w:r>
      <w:r>
        <w:t>2</w:t>
      </w:r>
      <w:r w:rsidRPr="00850459">
        <w:tab/>
        <w:t>Labelling</w:t>
      </w:r>
      <w:bookmarkEnd w:id="46"/>
      <w:r>
        <w:t xml:space="preserve"> </w:t>
      </w:r>
    </w:p>
    <w:p w14:paraId="34942125" w14:textId="7A01452D" w:rsidR="00BF5C5A" w:rsidRDefault="00BF5C5A" w:rsidP="00BF5C5A">
      <w:pPr>
        <w:pStyle w:val="Heading4"/>
      </w:pPr>
      <w:r>
        <w:t>2.2.2.1</w:t>
      </w:r>
      <w:r>
        <w:tab/>
        <w:t>Requirement to be labelled as ‘genetically modified’</w:t>
      </w:r>
    </w:p>
    <w:p w14:paraId="4D7867B6" w14:textId="71352340" w:rsidR="00B228A3" w:rsidRDefault="007B144E" w:rsidP="007B144E">
      <w:pPr>
        <w:rPr>
          <w:color w:val="000000" w:themeColor="text1"/>
        </w:rPr>
      </w:pPr>
      <w:r w:rsidRPr="00B228A3">
        <w:rPr>
          <w:color w:val="000000" w:themeColor="text1"/>
        </w:rPr>
        <w:t>In accordance with the labelling provisions in Standard 1.5.2</w:t>
      </w:r>
      <w:r w:rsidR="00F1547F">
        <w:rPr>
          <w:color w:val="000000" w:themeColor="text1"/>
        </w:rPr>
        <w:t xml:space="preserve"> and subject to certain exceptions</w:t>
      </w:r>
      <w:r w:rsidR="00C91B05">
        <w:rPr>
          <w:color w:val="000000" w:themeColor="text1"/>
        </w:rPr>
        <w:t xml:space="preserve"> listed in Part 1.3 above</w:t>
      </w:r>
      <w:r w:rsidRPr="00B228A3">
        <w:rPr>
          <w:color w:val="000000" w:themeColor="text1"/>
        </w:rPr>
        <w:t xml:space="preserve">, food derived from DHA canola would </w:t>
      </w:r>
      <w:r w:rsidR="005D69E8">
        <w:rPr>
          <w:color w:val="000000" w:themeColor="text1"/>
        </w:rPr>
        <w:t xml:space="preserve">generally </w:t>
      </w:r>
      <w:r w:rsidRPr="00B228A3">
        <w:rPr>
          <w:color w:val="000000" w:themeColor="text1"/>
        </w:rPr>
        <w:t>be required to be labelled as ‘genetically modified’ if it contains novel DNA or novel protein</w:t>
      </w:r>
      <w:r w:rsidR="0089245E">
        <w:rPr>
          <w:color w:val="000000" w:themeColor="text1"/>
        </w:rPr>
        <w:t>.</w:t>
      </w:r>
      <w:r w:rsidR="00BF5C5A">
        <w:rPr>
          <w:color w:val="000000" w:themeColor="text1"/>
        </w:rPr>
        <w:t xml:space="preserve"> </w:t>
      </w:r>
      <w:r w:rsidR="0089245E">
        <w:rPr>
          <w:color w:val="000000" w:themeColor="text1"/>
        </w:rPr>
        <w:t xml:space="preserve">In addition, if the product </w:t>
      </w:r>
      <w:r w:rsidR="00647936">
        <w:rPr>
          <w:color w:val="000000" w:themeColor="text1"/>
        </w:rPr>
        <w:t>is listed in section S26—3</w:t>
      </w:r>
      <w:r w:rsidR="00BF5C5A">
        <w:rPr>
          <w:color w:val="000000" w:themeColor="text1"/>
        </w:rPr>
        <w:t xml:space="preserve"> of Schedule 26 labelling must comply with section 1.5.2</w:t>
      </w:r>
      <w:r w:rsidR="00BF5C5A">
        <w:t>–4 of Standard 1.5.2 (such food has altered characteristics</w:t>
      </w:r>
      <w:r w:rsidR="00D477EA">
        <w:t>)</w:t>
      </w:r>
      <w:r w:rsidR="00BF5C5A">
        <w:t>.</w:t>
      </w:r>
    </w:p>
    <w:p w14:paraId="1F2F9992" w14:textId="77777777" w:rsidR="00C94AF3" w:rsidRPr="00B228A3" w:rsidRDefault="00C94AF3" w:rsidP="00C94AF3">
      <w:pPr>
        <w:rPr>
          <w:color w:val="000000" w:themeColor="text1"/>
          <w:highlight w:val="green"/>
        </w:rPr>
      </w:pPr>
    </w:p>
    <w:p w14:paraId="2B18B96F" w14:textId="57AE68A2" w:rsidR="00DB5082" w:rsidRPr="00DB5082" w:rsidRDefault="00DB5082" w:rsidP="00DB5082">
      <w:pPr>
        <w:rPr>
          <w:rFonts w:cs="Arial"/>
        </w:rPr>
      </w:pPr>
      <w:r w:rsidRPr="00912720">
        <w:rPr>
          <w:rFonts w:cs="Arial"/>
        </w:rPr>
        <w:t>FSANZ</w:t>
      </w:r>
      <w:r>
        <w:rPr>
          <w:rFonts w:cs="Arial"/>
        </w:rPr>
        <w:t xml:space="preserve"> has determined that whole seeds from DHA canola contain novel DNA and novel protein and contain an altered nutritional profile that is </w:t>
      </w:r>
      <w:r w:rsidRPr="00912720">
        <w:rPr>
          <w:rFonts w:cs="Arial"/>
        </w:rPr>
        <w:t>outside the compositional variation found in existing counterpart food</w:t>
      </w:r>
      <w:r>
        <w:rPr>
          <w:rFonts w:cs="Arial"/>
        </w:rPr>
        <w:t>. As such, whole seeds will require the mandatory statement ‘genetically modified’ on the label of a package of food. Where food products include whole canola seeds as ingredients but are not required to bear a label (</w:t>
      </w:r>
      <w:r w:rsidRPr="00DB5082">
        <w:rPr>
          <w:rFonts w:cs="Arial"/>
        </w:rPr>
        <w:t>for example, ‘fresh’ bread containing whole canola seeds that is made and packaged on the premises from which it is sold)</w:t>
      </w:r>
      <w:r>
        <w:rPr>
          <w:rFonts w:cs="Arial"/>
        </w:rPr>
        <w:t>, the mandatory statement would need to</w:t>
      </w:r>
      <w:r w:rsidRPr="00DB5082">
        <w:t xml:space="preserve"> </w:t>
      </w:r>
      <w:r w:rsidRPr="00DB5082">
        <w:rPr>
          <w:rFonts w:cs="Arial"/>
        </w:rPr>
        <w:t>accompany the food or be displayed in connection with the display of the food</w:t>
      </w:r>
      <w:r>
        <w:rPr>
          <w:rFonts w:cs="Arial"/>
        </w:rPr>
        <w:t>.</w:t>
      </w:r>
      <w:r w:rsidRPr="00DB5082">
        <w:rPr>
          <w:rFonts w:cs="Arial"/>
        </w:rPr>
        <w:t xml:space="preserve"> </w:t>
      </w:r>
    </w:p>
    <w:p w14:paraId="575E6AC8" w14:textId="77777777" w:rsidR="00DB5082" w:rsidRDefault="00DB5082" w:rsidP="00DB5082">
      <w:pPr>
        <w:rPr>
          <w:rFonts w:cs="Arial"/>
        </w:rPr>
      </w:pPr>
    </w:p>
    <w:p w14:paraId="33B14632" w14:textId="68F0F392" w:rsidR="00E31FBB" w:rsidRDefault="00404A92" w:rsidP="00DB5082">
      <w:pPr>
        <w:rPr>
          <w:rFonts w:cs="Arial"/>
        </w:rPr>
      </w:pPr>
      <w:r>
        <w:rPr>
          <w:rFonts w:cs="Arial"/>
        </w:rPr>
        <w:t xml:space="preserve">Canola oil </w:t>
      </w:r>
      <w:r w:rsidR="003928B6">
        <w:rPr>
          <w:rFonts w:cs="Arial"/>
        </w:rPr>
        <w:t xml:space="preserve">is the </w:t>
      </w:r>
      <w:r>
        <w:rPr>
          <w:rFonts w:cs="Arial"/>
        </w:rPr>
        <w:t xml:space="preserve">major product </w:t>
      </w:r>
      <w:r w:rsidR="003928B6">
        <w:rPr>
          <w:rFonts w:cs="Arial"/>
        </w:rPr>
        <w:t xml:space="preserve">of DHA canola intended </w:t>
      </w:r>
      <w:r w:rsidR="002C42BE">
        <w:rPr>
          <w:rFonts w:cs="Arial"/>
        </w:rPr>
        <w:t>for human consumption (see</w:t>
      </w:r>
      <w:r w:rsidR="00405939">
        <w:rPr>
          <w:rFonts w:cs="Arial"/>
        </w:rPr>
        <w:t xml:space="preserve"> s</w:t>
      </w:r>
      <w:r>
        <w:rPr>
          <w:rFonts w:cs="Arial"/>
        </w:rPr>
        <w:t xml:space="preserve">ection 2.1 of SD1). </w:t>
      </w:r>
      <w:r w:rsidR="00E31FBB">
        <w:rPr>
          <w:rFonts w:cs="Arial"/>
        </w:rPr>
        <w:t xml:space="preserve">DHA </w:t>
      </w:r>
      <w:r>
        <w:rPr>
          <w:rFonts w:cs="Arial"/>
        </w:rPr>
        <w:t>canola oil is unlikely to contain novel DNA or novel protein</w:t>
      </w:r>
      <w:r w:rsidR="009047A9" w:rsidRPr="009047A9">
        <w:rPr>
          <w:rFonts w:cs="Arial"/>
        </w:rPr>
        <w:t xml:space="preserve"> </w:t>
      </w:r>
      <w:r w:rsidR="009047A9">
        <w:rPr>
          <w:rFonts w:cs="Arial"/>
        </w:rPr>
        <w:t>due to the refining process</w:t>
      </w:r>
      <w:r w:rsidR="00005538">
        <w:rPr>
          <w:rFonts w:cs="Arial"/>
        </w:rPr>
        <w:t xml:space="preserve"> used to extract the oil from the seed</w:t>
      </w:r>
      <w:r>
        <w:rPr>
          <w:rFonts w:cs="Arial"/>
        </w:rPr>
        <w:t>.</w:t>
      </w:r>
      <w:r w:rsidR="009047A9">
        <w:rPr>
          <w:rFonts w:cs="Arial"/>
        </w:rPr>
        <w:t xml:space="preserve"> The product will, however, have </w:t>
      </w:r>
      <w:r w:rsidR="00E31FBB">
        <w:rPr>
          <w:rFonts w:cs="Arial"/>
        </w:rPr>
        <w:t xml:space="preserve">a nutritional profile that differs from canola oil derived from conventional (non-GM) canola seeds. FSANZ is </w:t>
      </w:r>
      <w:r w:rsidR="00E31FBB" w:rsidRPr="00912720">
        <w:rPr>
          <w:rFonts w:cs="Arial"/>
        </w:rPr>
        <w:t>proposing to list food derived from DHA canola in subsection S26—3(2) of Schedule 26</w:t>
      </w:r>
      <w:r w:rsidR="00E31FBB">
        <w:rPr>
          <w:rFonts w:cs="Arial"/>
        </w:rPr>
        <w:t>. The purpose of this listing is to ensure food derived from GM canola with an altered nutritional profile is labelled with the mandatory ‘genetically modified’ statement irrespective of the presence of novel DNA or novel protein.</w:t>
      </w:r>
      <w:r w:rsidR="00DB5082">
        <w:rPr>
          <w:rFonts w:cs="Arial"/>
        </w:rPr>
        <w:t xml:space="preserve"> Similar to whole canola seeds, the labelling </w:t>
      </w:r>
      <w:r w:rsidR="00005538">
        <w:rPr>
          <w:rFonts w:cs="Arial"/>
        </w:rPr>
        <w:t>information would apply to f</w:t>
      </w:r>
      <w:r w:rsidR="00DB5082">
        <w:rPr>
          <w:rFonts w:cs="Arial"/>
        </w:rPr>
        <w:t>ood contain</w:t>
      </w:r>
      <w:r w:rsidR="00005538">
        <w:rPr>
          <w:rFonts w:cs="Arial"/>
        </w:rPr>
        <w:t>ing</w:t>
      </w:r>
      <w:r w:rsidR="00DB5082">
        <w:rPr>
          <w:rFonts w:cs="Arial"/>
        </w:rPr>
        <w:t xml:space="preserve"> canola oil as an ingredient</w:t>
      </w:r>
      <w:r w:rsidR="00005538">
        <w:rPr>
          <w:rFonts w:cs="Arial"/>
        </w:rPr>
        <w:t xml:space="preserve"> where the food is </w:t>
      </w:r>
      <w:r w:rsidR="00DB5082">
        <w:rPr>
          <w:rFonts w:cs="Arial"/>
        </w:rPr>
        <w:t>not required to bear a label</w:t>
      </w:r>
      <w:r w:rsidR="009B449B">
        <w:rPr>
          <w:rFonts w:cs="Arial"/>
        </w:rPr>
        <w:t xml:space="preserve">. </w:t>
      </w:r>
      <w:r w:rsidR="00DB5082">
        <w:rPr>
          <w:rFonts w:cs="Arial"/>
        </w:rPr>
        <w:t xml:space="preserve"> </w:t>
      </w:r>
    </w:p>
    <w:p w14:paraId="1DEA7184" w14:textId="77777777" w:rsidR="00E31FBB" w:rsidRDefault="00E31FBB" w:rsidP="00E31FBB">
      <w:pPr>
        <w:rPr>
          <w:rFonts w:cs="Arial"/>
        </w:rPr>
      </w:pPr>
    </w:p>
    <w:p w14:paraId="16FB6C0C" w14:textId="72658AC4" w:rsidR="00E31FBB" w:rsidRDefault="002F6B6B" w:rsidP="00E31FBB">
      <w:pPr>
        <w:rPr>
          <w:rFonts w:cs="Arial"/>
        </w:rPr>
      </w:pPr>
      <w:r>
        <w:rPr>
          <w:rFonts w:cs="Arial"/>
        </w:rPr>
        <w:t>C</w:t>
      </w:r>
      <w:r w:rsidR="009047A9">
        <w:rPr>
          <w:rFonts w:cs="Arial"/>
        </w:rPr>
        <w:t>anola m</w:t>
      </w:r>
      <w:r w:rsidR="00E31FBB">
        <w:rPr>
          <w:rFonts w:cs="Arial"/>
        </w:rPr>
        <w:t>eal</w:t>
      </w:r>
      <w:r>
        <w:rPr>
          <w:rFonts w:cs="Arial"/>
        </w:rPr>
        <w:t xml:space="preserve"> is a </w:t>
      </w:r>
      <w:r w:rsidR="00E31FBB">
        <w:rPr>
          <w:rFonts w:cs="Arial"/>
        </w:rPr>
        <w:t>by-product of seed oil extraction</w:t>
      </w:r>
      <w:r w:rsidR="009047A9">
        <w:rPr>
          <w:rFonts w:cs="Arial"/>
        </w:rPr>
        <w:t xml:space="preserve">. </w:t>
      </w:r>
      <w:r>
        <w:rPr>
          <w:rFonts w:cs="Arial"/>
        </w:rPr>
        <w:t>T</w:t>
      </w:r>
      <w:r w:rsidR="00E31FBB">
        <w:rPr>
          <w:rFonts w:cs="Arial"/>
        </w:rPr>
        <w:t>he extraction process</w:t>
      </w:r>
      <w:r>
        <w:rPr>
          <w:rFonts w:cs="Arial"/>
        </w:rPr>
        <w:t xml:space="preserve"> means that</w:t>
      </w:r>
      <w:r w:rsidR="00E31FBB">
        <w:rPr>
          <w:rFonts w:cs="Arial"/>
        </w:rPr>
        <w:t xml:space="preserve"> the nutritional profile of the </w:t>
      </w:r>
      <w:r w:rsidR="009047A9">
        <w:rPr>
          <w:rFonts w:cs="Arial"/>
        </w:rPr>
        <w:t xml:space="preserve">DHA canola </w:t>
      </w:r>
      <w:r w:rsidR="00E31FBB">
        <w:rPr>
          <w:rFonts w:cs="Arial"/>
        </w:rPr>
        <w:t xml:space="preserve">meal is likely to be the same as for meal from </w:t>
      </w:r>
      <w:r w:rsidR="009047A9">
        <w:rPr>
          <w:rFonts w:cs="Arial"/>
        </w:rPr>
        <w:t>conventional (</w:t>
      </w:r>
      <w:r w:rsidR="00E31FBB">
        <w:rPr>
          <w:rFonts w:cs="Arial"/>
        </w:rPr>
        <w:t>non-GM</w:t>
      </w:r>
      <w:r w:rsidR="009047A9">
        <w:rPr>
          <w:rFonts w:cs="Arial"/>
        </w:rPr>
        <w:t xml:space="preserve">) canola seeds. </w:t>
      </w:r>
      <w:r w:rsidR="00E31FBB">
        <w:rPr>
          <w:rFonts w:cs="Arial"/>
        </w:rPr>
        <w:t xml:space="preserve">However, novel DNA and novel protein would be present </w:t>
      </w:r>
      <w:r w:rsidR="009047A9">
        <w:rPr>
          <w:rFonts w:cs="Arial"/>
        </w:rPr>
        <w:t>in the DHA canola meal</w:t>
      </w:r>
      <w:r w:rsidR="0085239E">
        <w:rPr>
          <w:rFonts w:cs="Arial"/>
        </w:rPr>
        <w:t>.</w:t>
      </w:r>
      <w:r w:rsidR="009047A9">
        <w:rPr>
          <w:rFonts w:cs="Arial"/>
        </w:rPr>
        <w:t xml:space="preserve"> </w:t>
      </w:r>
      <w:r w:rsidR="0085239E">
        <w:rPr>
          <w:rFonts w:cs="Arial"/>
        </w:rPr>
        <w:t>M</w:t>
      </w:r>
      <w:r w:rsidR="00E31FBB">
        <w:rPr>
          <w:rFonts w:cs="Arial"/>
        </w:rPr>
        <w:t xml:space="preserve">andatory labelling would </w:t>
      </w:r>
      <w:r w:rsidR="0085239E">
        <w:rPr>
          <w:rFonts w:cs="Arial"/>
        </w:rPr>
        <w:t xml:space="preserve">therefore </w:t>
      </w:r>
      <w:r w:rsidR="00E31FBB">
        <w:rPr>
          <w:rFonts w:cs="Arial"/>
        </w:rPr>
        <w:t xml:space="preserve">apply </w:t>
      </w:r>
      <w:r w:rsidR="0085239E">
        <w:rPr>
          <w:rFonts w:cs="Arial"/>
        </w:rPr>
        <w:t xml:space="preserve">to </w:t>
      </w:r>
      <w:r w:rsidR="009047A9">
        <w:rPr>
          <w:rFonts w:cs="Arial"/>
        </w:rPr>
        <w:t>th</w:t>
      </w:r>
      <w:r w:rsidR="0085239E">
        <w:rPr>
          <w:rFonts w:cs="Arial"/>
        </w:rPr>
        <w:t>e</w:t>
      </w:r>
      <w:r w:rsidR="009047A9">
        <w:rPr>
          <w:rFonts w:cs="Arial"/>
        </w:rPr>
        <w:t xml:space="preserve"> product </w:t>
      </w:r>
      <w:r w:rsidR="0085239E">
        <w:rPr>
          <w:rFonts w:cs="Arial"/>
        </w:rPr>
        <w:t xml:space="preserve">if it </w:t>
      </w:r>
      <w:r w:rsidR="00E31FBB">
        <w:rPr>
          <w:rFonts w:cs="Arial"/>
        </w:rPr>
        <w:t>w</w:t>
      </w:r>
      <w:r w:rsidR="00DB5082">
        <w:rPr>
          <w:rFonts w:cs="Arial"/>
        </w:rPr>
        <w:t xml:space="preserve">as used as an ingredient in a packaged or </w:t>
      </w:r>
      <w:r w:rsidR="009B449B">
        <w:rPr>
          <w:rFonts w:cs="Arial"/>
        </w:rPr>
        <w:t xml:space="preserve">an </w:t>
      </w:r>
      <w:r w:rsidR="00DB5082">
        <w:rPr>
          <w:rFonts w:cs="Arial"/>
        </w:rPr>
        <w:t>unpackaged food</w:t>
      </w:r>
      <w:r w:rsidR="00E31FBB">
        <w:rPr>
          <w:rFonts w:cs="Arial"/>
        </w:rPr>
        <w:t>.</w:t>
      </w:r>
    </w:p>
    <w:p w14:paraId="2BC47CF9" w14:textId="77777777" w:rsidR="005735C1" w:rsidRDefault="005735C1" w:rsidP="00C94AF3">
      <w:pPr>
        <w:rPr>
          <w:rFonts w:cs="Arial"/>
        </w:rPr>
      </w:pPr>
    </w:p>
    <w:p w14:paraId="2331419C" w14:textId="3C897258" w:rsidR="00404A92" w:rsidRDefault="00404A92" w:rsidP="00404A92">
      <w:pPr>
        <w:rPr>
          <w:color w:val="000000" w:themeColor="text1"/>
        </w:rPr>
      </w:pPr>
      <w:r w:rsidRPr="00404A92">
        <w:rPr>
          <w:color w:val="000000" w:themeColor="text1"/>
        </w:rPr>
        <w:t>In summary,</w:t>
      </w:r>
      <w:r w:rsidRPr="00404A92" w:rsidDel="009D0D8C">
        <w:rPr>
          <w:color w:val="000000" w:themeColor="text1"/>
        </w:rPr>
        <w:t xml:space="preserve"> </w:t>
      </w:r>
      <w:r w:rsidRPr="00404A92">
        <w:rPr>
          <w:color w:val="000000" w:themeColor="text1"/>
        </w:rPr>
        <w:t xml:space="preserve">Table 1 lists scenarios in which the mandatory statement would or would not apply, if food derived from </w:t>
      </w:r>
      <w:r w:rsidR="00E926DB">
        <w:rPr>
          <w:color w:val="000000" w:themeColor="text1"/>
        </w:rPr>
        <w:t>DHA canola</w:t>
      </w:r>
      <w:r w:rsidRPr="00404A92">
        <w:rPr>
          <w:color w:val="000000" w:themeColor="text1"/>
        </w:rPr>
        <w:t xml:space="preserve"> was </w:t>
      </w:r>
      <w:r w:rsidR="00E926DB">
        <w:rPr>
          <w:color w:val="000000" w:themeColor="text1"/>
        </w:rPr>
        <w:t xml:space="preserve">approved. </w:t>
      </w:r>
    </w:p>
    <w:p w14:paraId="35ABD928" w14:textId="77777777" w:rsidR="00B84183" w:rsidRPr="00404A92" w:rsidRDefault="00B84183" w:rsidP="00404A92">
      <w:pPr>
        <w:rPr>
          <w:color w:val="000000" w:themeColor="text1"/>
        </w:rPr>
      </w:pPr>
    </w:p>
    <w:p w14:paraId="79EC7977" w14:textId="77777777" w:rsidR="002879BE" w:rsidRDefault="002879BE">
      <w:pPr>
        <w:widowControl/>
        <w:rPr>
          <w:rFonts w:cs="Arial"/>
          <w:b/>
          <w:szCs w:val="22"/>
          <w:lang w:val="en"/>
        </w:rPr>
      </w:pPr>
      <w:r>
        <w:rPr>
          <w:rFonts w:cs="Arial"/>
          <w:b/>
          <w:szCs w:val="22"/>
          <w:lang w:val="en"/>
        </w:rPr>
        <w:br w:type="page"/>
      </w:r>
    </w:p>
    <w:p w14:paraId="50E5A3EE" w14:textId="2CD81D65" w:rsidR="00404A92" w:rsidRPr="00524C88" w:rsidRDefault="00404A92" w:rsidP="00404A92">
      <w:pPr>
        <w:spacing w:after="60"/>
        <w:rPr>
          <w:rFonts w:cs="Arial"/>
          <w:b/>
          <w:szCs w:val="22"/>
          <w:lang w:val="en"/>
        </w:rPr>
      </w:pPr>
      <w:r w:rsidRPr="00524C88">
        <w:rPr>
          <w:rFonts w:cs="Arial"/>
          <w:b/>
          <w:szCs w:val="22"/>
          <w:lang w:val="en"/>
        </w:rPr>
        <w:lastRenderedPageBreak/>
        <w:t>Table 1: Application of labelling requirements for food derived from DHA canola</w:t>
      </w:r>
    </w:p>
    <w:tbl>
      <w:tblPr>
        <w:tblStyle w:val="TableGrid"/>
        <w:tblW w:w="0" w:type="auto"/>
        <w:jc w:val="center"/>
        <w:tblBorders>
          <w:bottom w:val="none" w:sz="0" w:space="0" w:color="auto"/>
        </w:tblBorders>
        <w:tblLook w:val="04A0" w:firstRow="1" w:lastRow="0" w:firstColumn="1" w:lastColumn="0" w:noHBand="0" w:noVBand="1"/>
      </w:tblPr>
      <w:tblGrid>
        <w:gridCol w:w="5752"/>
        <w:gridCol w:w="2340"/>
      </w:tblGrid>
      <w:tr w:rsidR="00404A92" w:rsidRPr="00404A92" w14:paraId="65EAD383" w14:textId="77777777" w:rsidTr="007A69D8">
        <w:trPr>
          <w:trHeight w:val="397"/>
          <w:jc w:val="center"/>
        </w:trPr>
        <w:tc>
          <w:tcPr>
            <w:tcW w:w="5752" w:type="dxa"/>
            <w:shd w:val="clear" w:color="auto" w:fill="9BBD5F"/>
            <w:vAlign w:val="center"/>
          </w:tcPr>
          <w:p w14:paraId="14CED11B" w14:textId="41AE1649" w:rsidR="00404A92" w:rsidRPr="00513C20" w:rsidRDefault="00E926DB" w:rsidP="007A69D8">
            <w:pPr>
              <w:widowControl/>
              <w:jc w:val="center"/>
              <w:rPr>
                <w:rFonts w:cs="Arial"/>
                <w:color w:val="FFFFFF" w:themeColor="background1"/>
                <w:szCs w:val="22"/>
                <w:lang w:val="en"/>
              </w:rPr>
            </w:pPr>
            <w:r w:rsidRPr="00513C20">
              <w:rPr>
                <w:rFonts w:cs="Arial"/>
                <w:b/>
                <w:color w:val="FFFFFF" w:themeColor="background1"/>
                <w:sz w:val="20"/>
                <w:szCs w:val="20"/>
                <w:lang w:val="en"/>
              </w:rPr>
              <w:t>DHA canola food/i</w:t>
            </w:r>
            <w:r w:rsidR="00404A92" w:rsidRPr="00513C20">
              <w:rPr>
                <w:rFonts w:cs="Arial"/>
                <w:b/>
                <w:color w:val="FFFFFF" w:themeColor="background1"/>
                <w:sz w:val="20"/>
                <w:szCs w:val="20"/>
                <w:lang w:val="en"/>
              </w:rPr>
              <w:t>ngredient</w:t>
            </w:r>
          </w:p>
        </w:tc>
        <w:tc>
          <w:tcPr>
            <w:tcW w:w="2340" w:type="dxa"/>
            <w:shd w:val="clear" w:color="auto" w:fill="9BBD5F"/>
            <w:vAlign w:val="center"/>
          </w:tcPr>
          <w:p w14:paraId="5D38C502" w14:textId="77777777" w:rsidR="00404A92" w:rsidRPr="00513C20" w:rsidRDefault="00404A92" w:rsidP="007A69D8">
            <w:pPr>
              <w:widowControl/>
              <w:jc w:val="center"/>
              <w:rPr>
                <w:rFonts w:cs="Arial"/>
                <w:color w:val="FFFFFF" w:themeColor="background1"/>
                <w:szCs w:val="22"/>
                <w:lang w:val="en"/>
              </w:rPr>
            </w:pPr>
            <w:r w:rsidRPr="00513C20">
              <w:rPr>
                <w:rFonts w:cs="Arial"/>
                <w:b/>
                <w:color w:val="FFFFFF" w:themeColor="background1"/>
                <w:sz w:val="20"/>
                <w:szCs w:val="20"/>
                <w:lang w:val="en"/>
              </w:rPr>
              <w:t>Mandatory statement</w:t>
            </w:r>
          </w:p>
        </w:tc>
      </w:tr>
      <w:tr w:rsidR="00404A92" w:rsidRPr="00404A92" w14:paraId="19DFF537" w14:textId="77777777" w:rsidTr="007A69D8">
        <w:trPr>
          <w:trHeight w:val="397"/>
          <w:jc w:val="center"/>
        </w:trPr>
        <w:tc>
          <w:tcPr>
            <w:tcW w:w="5752" w:type="dxa"/>
            <w:vAlign w:val="center"/>
          </w:tcPr>
          <w:p w14:paraId="7CC1371B" w14:textId="77777777" w:rsidR="00404A92" w:rsidRPr="00513C20" w:rsidRDefault="00404A92" w:rsidP="007A69D8">
            <w:pPr>
              <w:widowControl/>
              <w:jc w:val="center"/>
              <w:rPr>
                <w:rFonts w:cs="Arial"/>
                <w:color w:val="000000" w:themeColor="text1"/>
                <w:sz w:val="18"/>
                <w:szCs w:val="18"/>
                <w:lang w:val="en"/>
              </w:rPr>
            </w:pPr>
            <w:r w:rsidRPr="00513C20">
              <w:rPr>
                <w:rFonts w:cs="Arial"/>
                <w:color w:val="000000" w:themeColor="text1"/>
                <w:sz w:val="18"/>
                <w:szCs w:val="18"/>
                <w:lang w:val="en"/>
              </w:rPr>
              <w:t>Contains novel DNA or novel protein</w:t>
            </w:r>
          </w:p>
        </w:tc>
        <w:tc>
          <w:tcPr>
            <w:tcW w:w="2340" w:type="dxa"/>
            <w:vAlign w:val="center"/>
          </w:tcPr>
          <w:p w14:paraId="1B6C03F1" w14:textId="77777777" w:rsidR="00404A92" w:rsidRPr="00513C20" w:rsidRDefault="00404A92" w:rsidP="007A69D8">
            <w:pPr>
              <w:widowControl/>
              <w:jc w:val="center"/>
              <w:rPr>
                <w:rFonts w:cs="Arial"/>
                <w:color w:val="000000" w:themeColor="text1"/>
                <w:sz w:val="18"/>
                <w:szCs w:val="18"/>
                <w:lang w:val="en"/>
              </w:rPr>
            </w:pPr>
            <w:r w:rsidRPr="00513C20">
              <w:rPr>
                <w:rFonts w:cs="Arial"/>
                <w:color w:val="000000" w:themeColor="text1"/>
                <w:sz w:val="18"/>
                <w:szCs w:val="18"/>
                <w:lang w:val="en"/>
              </w:rPr>
              <w:sym w:font="Wingdings" w:char="F0FC"/>
            </w:r>
          </w:p>
        </w:tc>
      </w:tr>
      <w:tr w:rsidR="00404A92" w:rsidRPr="00404A92" w14:paraId="1B0E5F6D" w14:textId="77777777" w:rsidTr="007A69D8">
        <w:trPr>
          <w:trHeight w:val="397"/>
          <w:jc w:val="center"/>
        </w:trPr>
        <w:tc>
          <w:tcPr>
            <w:tcW w:w="5752" w:type="dxa"/>
            <w:shd w:val="clear" w:color="auto" w:fill="EAF1DD" w:themeFill="accent3" w:themeFillTint="33"/>
            <w:vAlign w:val="center"/>
          </w:tcPr>
          <w:p w14:paraId="3FCF0F74" w14:textId="17CCBF07" w:rsidR="00404A92" w:rsidRPr="00513C20" w:rsidRDefault="00404A92" w:rsidP="007A69D8">
            <w:pPr>
              <w:widowControl/>
              <w:jc w:val="center"/>
              <w:rPr>
                <w:rFonts w:cs="Arial"/>
                <w:color w:val="000000" w:themeColor="text1"/>
                <w:sz w:val="18"/>
                <w:szCs w:val="18"/>
                <w:lang w:val="en"/>
              </w:rPr>
            </w:pPr>
            <w:r w:rsidRPr="00513C20">
              <w:rPr>
                <w:rFonts w:cs="Arial"/>
                <w:color w:val="000000" w:themeColor="text1"/>
                <w:sz w:val="18"/>
                <w:szCs w:val="18"/>
                <w:lang w:val="en"/>
              </w:rPr>
              <w:t>Contains altered fatty acid profile</w:t>
            </w:r>
          </w:p>
        </w:tc>
        <w:tc>
          <w:tcPr>
            <w:tcW w:w="2340" w:type="dxa"/>
            <w:shd w:val="clear" w:color="auto" w:fill="EAF1DD" w:themeFill="accent3" w:themeFillTint="33"/>
            <w:vAlign w:val="center"/>
          </w:tcPr>
          <w:p w14:paraId="0590B221" w14:textId="77777777" w:rsidR="00404A92" w:rsidRPr="00513C20" w:rsidRDefault="00404A92" w:rsidP="007A69D8">
            <w:pPr>
              <w:widowControl/>
              <w:jc w:val="center"/>
              <w:rPr>
                <w:rFonts w:cs="Arial"/>
                <w:color w:val="000000" w:themeColor="text1"/>
                <w:sz w:val="18"/>
                <w:szCs w:val="18"/>
                <w:lang w:val="en"/>
              </w:rPr>
            </w:pPr>
            <w:r w:rsidRPr="00513C20">
              <w:rPr>
                <w:rFonts w:cs="Arial"/>
                <w:color w:val="000000" w:themeColor="text1"/>
                <w:sz w:val="18"/>
                <w:szCs w:val="18"/>
                <w:lang w:val="en"/>
              </w:rPr>
              <w:sym w:font="Wingdings" w:char="F0FC"/>
            </w:r>
          </w:p>
        </w:tc>
      </w:tr>
      <w:tr w:rsidR="00404A92" w:rsidRPr="00404A92" w14:paraId="5D1D7C1D" w14:textId="77777777" w:rsidTr="007A69D8">
        <w:trPr>
          <w:trHeight w:val="397"/>
          <w:jc w:val="center"/>
        </w:trPr>
        <w:tc>
          <w:tcPr>
            <w:tcW w:w="5752" w:type="dxa"/>
            <w:tcBorders>
              <w:bottom w:val="single" w:sz="4" w:space="0" w:color="auto"/>
            </w:tcBorders>
            <w:vAlign w:val="center"/>
          </w:tcPr>
          <w:p w14:paraId="116F9E5C" w14:textId="2675DE2F" w:rsidR="00404A92" w:rsidRPr="00513C20" w:rsidRDefault="00404A92" w:rsidP="007A69D8">
            <w:pPr>
              <w:widowControl/>
              <w:jc w:val="center"/>
              <w:rPr>
                <w:rFonts w:cs="Arial"/>
                <w:color w:val="000000" w:themeColor="text1"/>
                <w:sz w:val="18"/>
                <w:szCs w:val="18"/>
                <w:lang w:val="en"/>
              </w:rPr>
            </w:pPr>
            <w:r w:rsidRPr="00513C20">
              <w:rPr>
                <w:rFonts w:cs="Arial"/>
                <w:color w:val="000000" w:themeColor="text1"/>
                <w:sz w:val="18"/>
                <w:szCs w:val="18"/>
                <w:lang w:val="en"/>
              </w:rPr>
              <w:t>Novel DNA or protein absent but contains altered fatty acid profile</w:t>
            </w:r>
          </w:p>
        </w:tc>
        <w:tc>
          <w:tcPr>
            <w:tcW w:w="2340" w:type="dxa"/>
            <w:tcBorders>
              <w:bottom w:val="single" w:sz="4" w:space="0" w:color="auto"/>
            </w:tcBorders>
            <w:vAlign w:val="center"/>
          </w:tcPr>
          <w:p w14:paraId="021AE706" w14:textId="77777777" w:rsidR="00404A92" w:rsidRPr="00513C20" w:rsidRDefault="00404A92" w:rsidP="007A69D8">
            <w:pPr>
              <w:widowControl/>
              <w:jc w:val="center"/>
              <w:rPr>
                <w:rFonts w:cs="Arial"/>
                <w:color w:val="000000" w:themeColor="text1"/>
                <w:sz w:val="18"/>
                <w:szCs w:val="18"/>
                <w:lang w:val="en"/>
              </w:rPr>
            </w:pPr>
            <w:r w:rsidRPr="00513C20">
              <w:rPr>
                <w:rFonts w:cs="Arial"/>
                <w:color w:val="000000" w:themeColor="text1"/>
                <w:sz w:val="18"/>
                <w:szCs w:val="18"/>
                <w:lang w:val="en"/>
              </w:rPr>
              <w:sym w:font="Wingdings" w:char="F0FC"/>
            </w:r>
          </w:p>
        </w:tc>
      </w:tr>
      <w:tr w:rsidR="00404A92" w:rsidRPr="00404A92" w14:paraId="7952D40F" w14:textId="77777777" w:rsidTr="007A69D8">
        <w:trPr>
          <w:trHeight w:val="397"/>
          <w:jc w:val="center"/>
        </w:trPr>
        <w:tc>
          <w:tcPr>
            <w:tcW w:w="57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F2F4173" w14:textId="0216FD3B" w:rsidR="00404A92" w:rsidRPr="00513C20" w:rsidRDefault="00404A92" w:rsidP="007A69D8">
            <w:pPr>
              <w:widowControl/>
              <w:jc w:val="center"/>
              <w:rPr>
                <w:rFonts w:cs="Arial"/>
                <w:color w:val="000000" w:themeColor="text1"/>
                <w:sz w:val="18"/>
                <w:szCs w:val="18"/>
                <w:lang w:val="en"/>
              </w:rPr>
            </w:pPr>
            <w:r w:rsidRPr="00513C20">
              <w:rPr>
                <w:rFonts w:cs="Arial"/>
                <w:color w:val="000000" w:themeColor="text1"/>
                <w:sz w:val="18"/>
                <w:szCs w:val="18"/>
                <w:lang w:val="en"/>
              </w:rPr>
              <w:t xml:space="preserve">Novel DNA or protein not present </w:t>
            </w:r>
            <w:r w:rsidR="00E926DB" w:rsidRPr="00513C20">
              <w:rPr>
                <w:rFonts w:cs="Arial"/>
                <w:color w:val="000000" w:themeColor="text1"/>
                <w:sz w:val="18"/>
                <w:szCs w:val="18"/>
                <w:lang w:val="en"/>
              </w:rPr>
              <w:t>and no altered fatty acid profile</w:t>
            </w:r>
            <w:r w:rsidRPr="00513C20">
              <w:rPr>
                <w:rFonts w:cs="Arial"/>
                <w:color w:val="000000" w:themeColor="text1"/>
                <w:sz w:val="18"/>
                <w:szCs w:val="18"/>
                <w:lang w:val="en"/>
              </w:rPr>
              <w:t xml:space="preserve">  i.e. the same as its conventional (non-GM) counterpart</w:t>
            </w:r>
          </w:p>
        </w:tc>
        <w:tc>
          <w:tcPr>
            <w:tcW w:w="23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2EEAC3F" w14:textId="77777777" w:rsidR="00404A92" w:rsidRPr="00513C20" w:rsidRDefault="00404A92" w:rsidP="007A69D8">
            <w:pPr>
              <w:widowControl/>
              <w:jc w:val="center"/>
              <w:rPr>
                <w:rFonts w:cs="Arial"/>
                <w:color w:val="000000" w:themeColor="text1"/>
                <w:sz w:val="18"/>
                <w:szCs w:val="18"/>
                <w:lang w:val="en"/>
              </w:rPr>
            </w:pPr>
            <w:r w:rsidRPr="00513C20">
              <w:rPr>
                <w:rFonts w:cs="Arial"/>
                <w:color w:val="000000" w:themeColor="text1"/>
                <w:sz w:val="18"/>
                <w:szCs w:val="18"/>
                <w:lang w:val="en"/>
              </w:rPr>
              <w:sym w:font="Wingdings" w:char="F0FB"/>
            </w:r>
          </w:p>
        </w:tc>
      </w:tr>
    </w:tbl>
    <w:p w14:paraId="0594DD4B" w14:textId="77777777" w:rsidR="00AC64BD" w:rsidRDefault="00AC64BD" w:rsidP="00FB23B5"/>
    <w:p w14:paraId="4663C8FD" w14:textId="1CAFD65E" w:rsidR="00DF2362" w:rsidRDefault="00EA2FB6" w:rsidP="00FB23B5">
      <w:r>
        <w:t xml:space="preserve">Existing </w:t>
      </w:r>
      <w:r w:rsidR="00FB23B5">
        <w:t xml:space="preserve">labelling provisions specify that </w:t>
      </w:r>
      <w:r>
        <w:t>food intended for immediate consumption that is prepared and sold from food premises and vending vehicles is exempt from GM food labelling requirements (see section 1.3</w:t>
      </w:r>
      <w:r w:rsidR="00DF2362">
        <w:t>).</w:t>
      </w:r>
    </w:p>
    <w:p w14:paraId="7FAFCC8E" w14:textId="77777777" w:rsidR="00DF2362" w:rsidRDefault="00DF2362" w:rsidP="00FB23B5"/>
    <w:p w14:paraId="2981A239" w14:textId="6CDC2986" w:rsidR="00FB23B5" w:rsidRDefault="00DF2362" w:rsidP="00FB23B5">
      <w:r>
        <w:t xml:space="preserve">However, paragraph 1.2.1—15(f) of Standard 1.2.1 requires information relating to foods produced using gene technology to be on labelling for food sold to a caterer. Subsection 1.1.2—2(3) of Standard 1.1.2 defines ‘caterer’ to mean a person, establishment or institution (for example, a catering establishment, a restaurant, a canteen, a school, or a hospital) which handles or offers food for immediate consumption. Consequently, in relation to </w:t>
      </w:r>
      <w:r w:rsidR="00BB5A1B">
        <w:t xml:space="preserve">such </w:t>
      </w:r>
      <w:r>
        <w:t xml:space="preserve">food, </w:t>
      </w:r>
      <w:r w:rsidR="00EA2FB6">
        <w:t xml:space="preserve">a consumer </w:t>
      </w:r>
      <w:r>
        <w:t xml:space="preserve">may </w:t>
      </w:r>
      <w:r w:rsidR="00EA2FB6">
        <w:t>see</w:t>
      </w:r>
      <w:r w:rsidR="00856657">
        <w:t>k</w:t>
      </w:r>
      <w:r w:rsidR="00EA2FB6">
        <w:t xml:space="preserve"> information about the food from the food business. </w:t>
      </w:r>
      <w:r w:rsidR="008278AF">
        <w:t xml:space="preserve">Any </w:t>
      </w:r>
      <w:r w:rsidR="008278AF">
        <w:rPr>
          <w:rFonts w:cs="Arial"/>
          <w:color w:val="000000" w:themeColor="text1"/>
          <w:szCs w:val="22"/>
          <w:lang w:val="en"/>
        </w:rPr>
        <w:t>r</w:t>
      </w:r>
      <w:r w:rsidR="008278AF" w:rsidRPr="001D4331">
        <w:rPr>
          <w:rFonts w:cs="Arial"/>
          <w:color w:val="000000" w:themeColor="text1"/>
          <w:szCs w:val="22"/>
          <w:lang w:val="en"/>
        </w:rPr>
        <w:t xml:space="preserve">epresentations made </w:t>
      </w:r>
      <w:r w:rsidR="008278AF">
        <w:rPr>
          <w:rFonts w:cs="Arial"/>
          <w:color w:val="000000" w:themeColor="text1"/>
          <w:szCs w:val="22"/>
          <w:lang w:val="en"/>
        </w:rPr>
        <w:t xml:space="preserve">by the food business </w:t>
      </w:r>
      <w:r w:rsidR="008278AF" w:rsidRPr="001D4331">
        <w:rPr>
          <w:rFonts w:cs="Arial"/>
          <w:color w:val="000000" w:themeColor="text1"/>
          <w:szCs w:val="22"/>
          <w:lang w:val="en"/>
        </w:rPr>
        <w:t>about a food derived from DHA canola would be subject to other Australian and New Zealand laws designed to prevent misleading or deceptive conduct, including in relation to food</w:t>
      </w:r>
      <w:r w:rsidR="00EA2FB6">
        <w:t xml:space="preserve">. </w:t>
      </w:r>
    </w:p>
    <w:p w14:paraId="1A26C118" w14:textId="789FE784" w:rsidR="00BF5C5A" w:rsidRPr="00BF5C5A" w:rsidRDefault="00BF5C5A" w:rsidP="00BF5C5A">
      <w:pPr>
        <w:pStyle w:val="Heading4"/>
      </w:pPr>
      <w:r w:rsidRPr="00BF5C5A">
        <w:t>2.2.2.2</w:t>
      </w:r>
      <w:r w:rsidRPr="00BF5C5A">
        <w:tab/>
        <w:t>Need for additional labelling requirements</w:t>
      </w:r>
    </w:p>
    <w:p w14:paraId="2C73F856" w14:textId="7BF22D1F" w:rsidR="00D477EA" w:rsidRDefault="00BF5C5A" w:rsidP="00C94AF3">
      <w:pPr>
        <w:rPr>
          <w:rFonts w:cs="Arial"/>
        </w:rPr>
      </w:pPr>
      <w:r w:rsidRPr="00BF5C5A">
        <w:rPr>
          <w:rFonts w:cs="Arial"/>
        </w:rPr>
        <w:t>Labelling of GM food</w:t>
      </w:r>
      <w:r>
        <w:rPr>
          <w:rFonts w:cs="Arial"/>
        </w:rPr>
        <w:t xml:space="preserve"> is intended to address the objective set out in paragraph 18(1)(b) of the FSANZ Act</w:t>
      </w:r>
      <w:r w:rsidR="00BD7AF3">
        <w:rPr>
          <w:rFonts w:cs="Arial"/>
        </w:rPr>
        <w:t>—</w:t>
      </w:r>
      <w:r>
        <w:rPr>
          <w:rFonts w:cs="Arial"/>
        </w:rPr>
        <w:t>the provision of adequate information relating to food to enable consumers to make informed choices. For this reason, FSANZ has considered whether additional labelling (i.e. in addition to the mandatory ‘genetically modified’ statement described above) is required to alert consumers to the nature of the altered characteristic</w:t>
      </w:r>
      <w:r w:rsidR="00807BEF">
        <w:rPr>
          <w:rFonts w:cs="Arial"/>
        </w:rPr>
        <w:t xml:space="preserve"> in GM canola</w:t>
      </w:r>
      <w:r>
        <w:rPr>
          <w:rFonts w:cs="Arial"/>
        </w:rPr>
        <w:t xml:space="preserve"> when compare</w:t>
      </w:r>
      <w:r w:rsidR="009B449B">
        <w:rPr>
          <w:rFonts w:cs="Arial"/>
        </w:rPr>
        <w:t>d</w:t>
      </w:r>
      <w:r>
        <w:rPr>
          <w:rFonts w:cs="Arial"/>
        </w:rPr>
        <w:t xml:space="preserve"> to non-GM canola</w:t>
      </w:r>
      <w:r w:rsidR="00807BEF">
        <w:rPr>
          <w:rFonts w:cs="Arial"/>
        </w:rPr>
        <w:t xml:space="preserve"> products</w:t>
      </w:r>
      <w:r>
        <w:rPr>
          <w:rFonts w:cs="Arial"/>
        </w:rPr>
        <w:t xml:space="preserve">. </w:t>
      </w:r>
    </w:p>
    <w:p w14:paraId="0E1ADA4F" w14:textId="77777777" w:rsidR="00D477EA" w:rsidRDefault="00D477EA" w:rsidP="00C94AF3">
      <w:pPr>
        <w:rPr>
          <w:rFonts w:cs="Arial"/>
        </w:rPr>
      </w:pPr>
    </w:p>
    <w:p w14:paraId="465B6D4C" w14:textId="23161A12" w:rsidR="00BF5C5A" w:rsidRDefault="00912720" w:rsidP="004A7397">
      <w:pPr>
        <w:rPr>
          <w:rFonts w:cs="Arial"/>
        </w:rPr>
      </w:pPr>
      <w:r>
        <w:rPr>
          <w:rFonts w:cs="Arial"/>
        </w:rPr>
        <w:t>Canola</w:t>
      </w:r>
      <w:r w:rsidR="00D477EA">
        <w:rPr>
          <w:rFonts w:cs="Arial"/>
        </w:rPr>
        <w:t xml:space="preserve"> </w:t>
      </w:r>
      <w:r>
        <w:rPr>
          <w:rFonts w:cs="Arial"/>
        </w:rPr>
        <w:t>oil</w:t>
      </w:r>
      <w:r w:rsidR="00D477EA">
        <w:rPr>
          <w:rFonts w:cs="Arial"/>
        </w:rPr>
        <w:t xml:space="preserve"> and whole seeds </w:t>
      </w:r>
      <w:r>
        <w:rPr>
          <w:rFonts w:cs="Arial"/>
        </w:rPr>
        <w:t>from DHA canola will contain</w:t>
      </w:r>
      <w:r w:rsidRPr="00912720">
        <w:rPr>
          <w:rFonts w:cs="Arial"/>
          <w:color w:val="FF0000"/>
        </w:rPr>
        <w:t xml:space="preserve"> </w:t>
      </w:r>
      <w:r w:rsidR="004A7397">
        <w:rPr>
          <w:rFonts w:cs="Arial"/>
        </w:rPr>
        <w:t>an altered fatty acid profile</w:t>
      </w:r>
      <w:r w:rsidR="009B449B">
        <w:rPr>
          <w:rFonts w:cs="Arial"/>
        </w:rPr>
        <w:t xml:space="preserve">. </w:t>
      </w:r>
      <w:r>
        <w:rPr>
          <w:rFonts w:cs="Arial"/>
          <w:color w:val="FF0000"/>
        </w:rPr>
        <w:t xml:space="preserve"> </w:t>
      </w:r>
      <w:r w:rsidRPr="00912720">
        <w:rPr>
          <w:rFonts w:cs="Arial"/>
        </w:rPr>
        <w:t xml:space="preserve">However, FSANZ is </w:t>
      </w:r>
      <w:r>
        <w:rPr>
          <w:rFonts w:cs="Arial"/>
        </w:rPr>
        <w:t xml:space="preserve">not proposing additional mandatory labelling </w:t>
      </w:r>
      <w:r w:rsidR="00807BEF">
        <w:rPr>
          <w:rFonts w:cs="Arial"/>
        </w:rPr>
        <w:t>due to the following reasons</w:t>
      </w:r>
      <w:r>
        <w:rPr>
          <w:rFonts w:cs="Arial"/>
        </w:rPr>
        <w:t>:</w:t>
      </w:r>
    </w:p>
    <w:p w14:paraId="3C97EE21" w14:textId="77777777" w:rsidR="004A7397" w:rsidRDefault="004A7397" w:rsidP="004A7397">
      <w:pPr>
        <w:rPr>
          <w:rFonts w:cs="Arial"/>
        </w:rPr>
      </w:pPr>
    </w:p>
    <w:p w14:paraId="3AAA3485" w14:textId="3414E9C3" w:rsidR="00912720" w:rsidRDefault="004A7397" w:rsidP="00C61B5E">
      <w:pPr>
        <w:pStyle w:val="FSBullet1"/>
      </w:pPr>
      <w:r>
        <w:t xml:space="preserve">The </w:t>
      </w:r>
      <w:r w:rsidR="00C61B5E" w:rsidRPr="00C61B5E">
        <w:t>canola has been genetically</w:t>
      </w:r>
      <w:r w:rsidR="00C61B5E">
        <w:t xml:space="preserve"> </w:t>
      </w:r>
      <w:r w:rsidR="00C61B5E" w:rsidRPr="00C61B5E">
        <w:t xml:space="preserve">modified to contain the </w:t>
      </w:r>
      <w:r w:rsidR="007E40BE">
        <w:t>n-3 LC-PUFA,</w:t>
      </w:r>
      <w:r w:rsidR="00C61B5E">
        <w:t xml:space="preserve"> DHA, al</w:t>
      </w:r>
      <w:r w:rsidR="007E40BE">
        <w:t>though other n-3 LC PUFAs</w:t>
      </w:r>
      <w:r w:rsidR="00C61B5E">
        <w:t xml:space="preserve"> </w:t>
      </w:r>
      <w:r w:rsidR="00BC77D0">
        <w:t xml:space="preserve">(namely EPA and </w:t>
      </w:r>
      <w:proofErr w:type="spellStart"/>
      <w:r w:rsidR="00C61B5E" w:rsidRPr="00C61B5E">
        <w:t>docosapentaenoic</w:t>
      </w:r>
      <w:proofErr w:type="spellEnd"/>
      <w:r w:rsidR="00C61B5E" w:rsidRPr="00C61B5E">
        <w:t xml:space="preserve"> acid (DPA)</w:t>
      </w:r>
      <w:r w:rsidR="00BC77D0">
        <w:t>)</w:t>
      </w:r>
      <w:r w:rsidR="00C61B5E" w:rsidRPr="00C61B5E">
        <w:t xml:space="preserve"> </w:t>
      </w:r>
      <w:r w:rsidR="00C61B5E">
        <w:t xml:space="preserve">are also present in small amounts. </w:t>
      </w:r>
      <w:r w:rsidR="00063FCB" w:rsidRPr="00063FCB">
        <w:t xml:space="preserve">FSANZ notes that consumers are more likely to have a better understanding of the general terms ‘omega-3’ </w:t>
      </w:r>
      <w:r w:rsidR="00063FCB">
        <w:t>and ‘</w:t>
      </w:r>
      <w:r>
        <w:t>polyunsaturated fats</w:t>
      </w:r>
      <w:r w:rsidR="00063FCB">
        <w:t xml:space="preserve">’ </w:t>
      </w:r>
      <w:r w:rsidR="00063FCB" w:rsidRPr="00063FCB">
        <w:t xml:space="preserve">than to have an understanding of the </w:t>
      </w:r>
      <w:r w:rsidR="00C61B5E">
        <w:t xml:space="preserve">specific </w:t>
      </w:r>
      <w:r w:rsidR="00063FCB" w:rsidRPr="00063FCB">
        <w:t>fatty acids. As such, mandatory labelling that refers to specific fatty acids, such as DHA, could be confusing to consumers.</w:t>
      </w:r>
    </w:p>
    <w:p w14:paraId="7B5717F5" w14:textId="0C21C39D" w:rsidR="00945294" w:rsidRPr="004E6D52" w:rsidRDefault="00945294" w:rsidP="00945294">
      <w:pPr>
        <w:pStyle w:val="FSBullet1"/>
      </w:pPr>
      <w:r w:rsidRPr="004E6D52">
        <w:t xml:space="preserve">A mandatory statement to the effect that the food has been genetically modified to contain DHA as an omega-3 fatty acid, would be inconsistent with </w:t>
      </w:r>
      <w:r w:rsidR="00BC77D0" w:rsidRPr="004E6D52">
        <w:t xml:space="preserve">existing </w:t>
      </w:r>
      <w:r w:rsidRPr="004E6D52">
        <w:t xml:space="preserve">omega-3 claim conditions </w:t>
      </w:r>
      <w:r w:rsidR="00C61B5E" w:rsidRPr="004E6D52">
        <w:t>in section S4—3 of Schedule 4 (Nutrition, health and related claims).</w:t>
      </w:r>
      <w:r w:rsidRPr="004E6D52">
        <w:t xml:space="preserve"> </w:t>
      </w:r>
      <w:r w:rsidR="00C61B5E" w:rsidRPr="004E6D52">
        <w:t xml:space="preserve">Section S4—3 includes the claim condition that a </w:t>
      </w:r>
      <w:r w:rsidRPr="004E6D52">
        <w:t xml:space="preserve">serving of the food carrying an omega-3 nutrition claim </w:t>
      </w:r>
      <w:r w:rsidR="00C61B5E" w:rsidRPr="004E6D52">
        <w:t xml:space="preserve">must </w:t>
      </w:r>
      <w:r w:rsidRPr="004E6D52">
        <w:t xml:space="preserve">contain minimum amounts of ALA or EPA and DHA, whereas a mandatory labelling statement for </w:t>
      </w:r>
      <w:r w:rsidR="00BC77D0" w:rsidRPr="004E6D52">
        <w:t xml:space="preserve">DHA canola seed oil </w:t>
      </w:r>
      <w:r w:rsidRPr="004E6D52">
        <w:t>would simply inform consumers of the presence of DHA</w:t>
      </w:r>
      <w:r w:rsidR="00BC77D0" w:rsidRPr="004E6D52">
        <w:t xml:space="preserve"> or omega-3 fatty acids</w:t>
      </w:r>
      <w:r w:rsidRPr="004E6D52">
        <w:t>, irrespective of the amount in the food</w:t>
      </w:r>
      <w:r w:rsidR="00BC77D0" w:rsidRPr="004E6D52">
        <w:t xml:space="preserve"> or ingredient</w:t>
      </w:r>
      <w:r w:rsidRPr="004E6D52">
        <w:t>.</w:t>
      </w:r>
    </w:p>
    <w:p w14:paraId="611C3F48" w14:textId="61B11538" w:rsidR="00063FCB" w:rsidRDefault="00945294" w:rsidP="00945294">
      <w:pPr>
        <w:pStyle w:val="FSBullet1"/>
      </w:pPr>
      <w:r w:rsidRPr="00945294">
        <w:t xml:space="preserve">A mandatory statement could also imply that the food contributes a nutritionally significant amount of </w:t>
      </w:r>
      <w:r w:rsidR="00BC77D0">
        <w:t xml:space="preserve">DHA or </w:t>
      </w:r>
      <w:r w:rsidR="007E40BE">
        <w:t>n-3 LC PUFAs</w:t>
      </w:r>
      <w:r w:rsidRPr="00945294">
        <w:t>, when the actual amount may be negligible (for example, when oil from DHA canola is used as a minor ingredient in food). In addition, consumers could assume</w:t>
      </w:r>
      <w:r w:rsidR="007E40BE">
        <w:t>,</w:t>
      </w:r>
      <w:r w:rsidRPr="00945294">
        <w:t xml:space="preserve"> inappropriately</w:t>
      </w:r>
      <w:r w:rsidR="007E40BE">
        <w:t>,</w:t>
      </w:r>
      <w:r w:rsidRPr="00945294">
        <w:t xml:space="preserve"> that DHA provides an equivalent amount of </w:t>
      </w:r>
      <w:r w:rsidR="007E40BE">
        <w:t>n-3 LC PUFAs</w:t>
      </w:r>
      <w:r w:rsidRPr="00945294">
        <w:t xml:space="preserve"> derived from fish.</w:t>
      </w:r>
    </w:p>
    <w:p w14:paraId="259FD19B" w14:textId="375E1F9F" w:rsidR="00BF5C5A" w:rsidRPr="00BF5C5A" w:rsidRDefault="00BF5C5A" w:rsidP="00BF5C5A">
      <w:pPr>
        <w:pStyle w:val="Heading4"/>
      </w:pPr>
      <w:r w:rsidRPr="00BF5C5A">
        <w:lastRenderedPageBreak/>
        <w:t>2.2.</w:t>
      </w:r>
      <w:r>
        <w:t>2.3</w:t>
      </w:r>
      <w:r>
        <w:tab/>
      </w:r>
      <w:r w:rsidRPr="00BF5C5A">
        <w:t>Voluntary representations made about food</w:t>
      </w:r>
    </w:p>
    <w:p w14:paraId="21E22B0A" w14:textId="7674DCFC" w:rsidR="004A7397" w:rsidRDefault="00C94AF3" w:rsidP="00DD3C5E">
      <w:pPr>
        <w:rPr>
          <w:rFonts w:cs="Arial"/>
        </w:rPr>
      </w:pPr>
      <w:r w:rsidRPr="00334D65">
        <w:rPr>
          <w:rFonts w:cs="Arial"/>
        </w:rPr>
        <w:t>As a result of the nutrition assessment, FSANZ has concluded that oil produced from DHA canola has the potential to be used as a source o</w:t>
      </w:r>
      <w:r w:rsidR="00DB1B8B" w:rsidRPr="00334D65">
        <w:rPr>
          <w:rFonts w:cs="Arial"/>
        </w:rPr>
        <w:t xml:space="preserve">f omega-3 fatty acids. </w:t>
      </w:r>
      <w:r w:rsidR="00334D65">
        <w:rPr>
          <w:rFonts w:cs="Arial"/>
        </w:rPr>
        <w:t xml:space="preserve">Canola oil derived from DHA canola may meet the requirements for making a nutrition </w:t>
      </w:r>
      <w:r w:rsidR="009B449B">
        <w:rPr>
          <w:rFonts w:cs="Arial"/>
        </w:rPr>
        <w:t xml:space="preserve">content </w:t>
      </w:r>
      <w:r w:rsidR="00334D65">
        <w:rPr>
          <w:rFonts w:cs="Arial"/>
        </w:rPr>
        <w:t xml:space="preserve">claim in relation </w:t>
      </w:r>
      <w:r w:rsidR="00D477EA">
        <w:rPr>
          <w:rFonts w:cs="Arial"/>
        </w:rPr>
        <w:t xml:space="preserve">to its </w:t>
      </w:r>
      <w:r w:rsidRPr="00334D65">
        <w:rPr>
          <w:rFonts w:cs="Arial"/>
        </w:rPr>
        <w:t xml:space="preserve">omega-3 fatty acid content </w:t>
      </w:r>
      <w:r w:rsidR="00D477EA">
        <w:rPr>
          <w:rFonts w:cs="Arial"/>
        </w:rPr>
        <w:t>o</w:t>
      </w:r>
      <w:r w:rsidR="00334D65">
        <w:rPr>
          <w:rFonts w:cs="Arial"/>
        </w:rPr>
        <w:t>r polyunsaturated fatty acid</w:t>
      </w:r>
      <w:r w:rsidR="00D477EA">
        <w:rPr>
          <w:rFonts w:cs="Arial"/>
        </w:rPr>
        <w:t xml:space="preserve"> content. Th</w:t>
      </w:r>
      <w:r w:rsidR="00334D65">
        <w:rPr>
          <w:rFonts w:cs="Arial"/>
        </w:rPr>
        <w:t xml:space="preserve">e conditions for making such claims are set out in </w:t>
      </w:r>
      <w:r w:rsidR="009B449B">
        <w:rPr>
          <w:rFonts w:cs="Arial"/>
        </w:rPr>
        <w:t xml:space="preserve">section </w:t>
      </w:r>
      <w:r w:rsidR="00334D65">
        <w:rPr>
          <w:rFonts w:cs="Arial"/>
        </w:rPr>
        <w:t xml:space="preserve">S4—3 </w:t>
      </w:r>
      <w:r w:rsidR="009B449B">
        <w:rPr>
          <w:rFonts w:cs="Arial"/>
        </w:rPr>
        <w:t xml:space="preserve">of Schedule 4 and </w:t>
      </w:r>
      <w:r w:rsidR="00334D65">
        <w:rPr>
          <w:rFonts w:cs="Arial"/>
        </w:rPr>
        <w:t xml:space="preserve">other </w:t>
      </w:r>
      <w:r w:rsidR="00D477EA">
        <w:rPr>
          <w:rFonts w:cs="Arial"/>
        </w:rPr>
        <w:t xml:space="preserve">nutrition content claim </w:t>
      </w:r>
      <w:r w:rsidR="00334D65">
        <w:rPr>
          <w:rFonts w:cs="Arial"/>
        </w:rPr>
        <w:t xml:space="preserve">requirements are set out in </w:t>
      </w:r>
      <w:r w:rsidR="00D477EA">
        <w:rPr>
          <w:rFonts w:cs="Arial"/>
        </w:rPr>
        <w:t>Standard 1.2.7 (Nutrition, health and related claims). The onus is on the supplier to determine whether their food product meets these conditions and requirements</w:t>
      </w:r>
      <w:r w:rsidR="009B449B">
        <w:rPr>
          <w:rFonts w:cs="Arial"/>
        </w:rPr>
        <w:t xml:space="preserve"> before making a nutrition content claim</w:t>
      </w:r>
      <w:r w:rsidR="00D477EA">
        <w:rPr>
          <w:rFonts w:cs="Arial"/>
        </w:rPr>
        <w:t xml:space="preserve">. </w:t>
      </w:r>
    </w:p>
    <w:p w14:paraId="50CE0C4F" w14:textId="77777777" w:rsidR="004A7397" w:rsidRDefault="004A7397" w:rsidP="00DD3C5E">
      <w:pPr>
        <w:rPr>
          <w:rFonts w:cs="Arial"/>
        </w:rPr>
      </w:pPr>
    </w:p>
    <w:p w14:paraId="75EF0CEC" w14:textId="4DE08920" w:rsidR="00D3171B" w:rsidRDefault="009B449B" w:rsidP="00DD3C5E">
      <w:pPr>
        <w:rPr>
          <w:rFonts w:cs="Arial"/>
          <w:color w:val="000000" w:themeColor="text1"/>
          <w:szCs w:val="22"/>
          <w:lang w:val="en"/>
        </w:rPr>
      </w:pPr>
      <w:r>
        <w:rPr>
          <w:rFonts w:cs="Arial"/>
          <w:color w:val="000000" w:themeColor="text1"/>
          <w:szCs w:val="22"/>
          <w:lang w:val="en"/>
        </w:rPr>
        <w:t xml:space="preserve">Additionally, </w:t>
      </w:r>
      <w:r w:rsidR="001220D0">
        <w:rPr>
          <w:rFonts w:cs="Arial"/>
          <w:color w:val="000000" w:themeColor="text1"/>
          <w:szCs w:val="22"/>
          <w:lang w:val="en"/>
        </w:rPr>
        <w:t xml:space="preserve">as mentioned above, </w:t>
      </w:r>
      <w:r>
        <w:rPr>
          <w:rFonts w:cs="Arial"/>
          <w:color w:val="000000" w:themeColor="text1"/>
          <w:szCs w:val="22"/>
          <w:lang w:val="en"/>
        </w:rPr>
        <w:t>r</w:t>
      </w:r>
      <w:r w:rsidR="007B144E" w:rsidRPr="001D4331">
        <w:rPr>
          <w:rFonts w:cs="Arial"/>
          <w:color w:val="000000" w:themeColor="text1"/>
          <w:szCs w:val="22"/>
          <w:lang w:val="en"/>
        </w:rPr>
        <w:t>epresentations mad</w:t>
      </w:r>
      <w:r w:rsidR="00B228A3" w:rsidRPr="001D4331">
        <w:rPr>
          <w:rFonts w:cs="Arial"/>
          <w:color w:val="000000" w:themeColor="text1"/>
          <w:szCs w:val="22"/>
          <w:lang w:val="en"/>
        </w:rPr>
        <w:t>e about a food derived from DHA canola</w:t>
      </w:r>
      <w:r w:rsidR="007B144E" w:rsidRPr="001D4331">
        <w:rPr>
          <w:rFonts w:cs="Arial"/>
          <w:color w:val="000000" w:themeColor="text1"/>
          <w:szCs w:val="22"/>
          <w:lang w:val="en"/>
        </w:rPr>
        <w:t xml:space="preserve"> would also be subject to other Australian and New Zealand laws designed to prevent misleading or deceptive conduct, including in relation to food.</w:t>
      </w:r>
      <w:r w:rsidR="007B144E" w:rsidRPr="00E66D32">
        <w:rPr>
          <w:rFonts w:cs="Arial"/>
          <w:color w:val="000000" w:themeColor="text1"/>
          <w:szCs w:val="22"/>
          <w:lang w:val="en"/>
        </w:rPr>
        <w:t xml:space="preserve"> </w:t>
      </w:r>
    </w:p>
    <w:p w14:paraId="6ECFC074" w14:textId="77777777" w:rsidR="00D728FF" w:rsidRDefault="00D728FF" w:rsidP="00D728FF">
      <w:pPr>
        <w:pStyle w:val="Heading3"/>
      </w:pPr>
      <w:bookmarkStart w:id="47" w:name="_Toc438026181"/>
      <w:bookmarkStart w:id="48" w:name="_Toc454376567"/>
      <w:bookmarkStart w:id="49" w:name="_Toc476754824"/>
      <w:bookmarkStart w:id="50" w:name="_Toc490726033"/>
      <w:r>
        <w:t>2.2.3</w:t>
      </w:r>
      <w:r w:rsidRPr="00801000">
        <w:tab/>
        <w:t>Detection methodology</w:t>
      </w:r>
      <w:bookmarkEnd w:id="47"/>
      <w:bookmarkEnd w:id="48"/>
      <w:bookmarkEnd w:id="49"/>
      <w:bookmarkEnd w:id="50"/>
    </w:p>
    <w:p w14:paraId="3317129C" w14:textId="77777777" w:rsidR="00D728FF" w:rsidRDefault="00D728FF" w:rsidP="00D728FF">
      <w:pPr>
        <w:rPr>
          <w:color w:val="000000" w:themeColor="text1"/>
        </w:rPr>
      </w:pPr>
      <w:r w:rsidRPr="008C1AE6">
        <w:rPr>
          <w:color w:val="000000" w:themeColor="text1"/>
        </w:rPr>
        <w:t>An Expert Advisory Group (EAG), involving laboratory personnel and representatives of the Australian and New Zealand jurisdictions was formed by the Food Regulation Standing Committee’s Implementation Sub-Committee</w:t>
      </w:r>
      <w:r w:rsidRPr="008C1AE6">
        <w:rPr>
          <w:rStyle w:val="FootnoteReference"/>
          <w:color w:val="000000" w:themeColor="text1"/>
        </w:rPr>
        <w:footnoteReference w:id="5"/>
      </w:r>
      <w:r w:rsidRPr="008C1AE6">
        <w:rPr>
          <w:color w:val="000000" w:themeColor="text1"/>
        </w:rPr>
        <w:t xml:space="preserve"> to identify and evaluate appropriate methods of analysis associated with all applications to FSANZ, including those applications for food derived from gene technology (GM applications). </w:t>
      </w:r>
    </w:p>
    <w:p w14:paraId="1731B6E0" w14:textId="77777777" w:rsidR="00D728FF" w:rsidRPr="008C1AE6" w:rsidRDefault="00D728FF" w:rsidP="00D728FF">
      <w:pPr>
        <w:rPr>
          <w:color w:val="000000" w:themeColor="text1"/>
        </w:rPr>
      </w:pPr>
    </w:p>
    <w:p w14:paraId="69417ECC" w14:textId="77777777" w:rsidR="00D728FF" w:rsidRPr="00FE626C" w:rsidRDefault="00D728FF" w:rsidP="00D728FF">
      <w:pPr>
        <w:rPr>
          <w:lang w:eastAsia="en-AU" w:bidi="ar-SA"/>
        </w:rPr>
      </w:pPr>
      <w:r>
        <w:rPr>
          <w:color w:val="000000" w:themeColor="text1"/>
        </w:rPr>
        <w:t>The EAG</w:t>
      </w:r>
      <w:r w:rsidRPr="008C1AE6">
        <w:rPr>
          <w:color w:val="000000" w:themeColor="text1"/>
        </w:rPr>
        <w:t xml:space="preserve"> indicated that for GM applications, the full DNA sequence of the in</w:t>
      </w:r>
      <w:r>
        <w:rPr>
          <w:color w:val="000000" w:themeColor="text1"/>
        </w:rPr>
        <w:t>sert and adjacent genomic DNA are</w:t>
      </w:r>
      <w:r w:rsidRPr="008C1AE6">
        <w:rPr>
          <w:color w:val="000000" w:themeColor="text1"/>
        </w:rPr>
        <w:t xml:space="preserve"> sufficient data to be provided for analytical purposes. Using this information, any DNA analytical laboratory would have the capability to develop a </w:t>
      </w:r>
      <w:r w:rsidRPr="008C1AE6">
        <w:rPr>
          <w:color w:val="000000" w:themeColor="text1"/>
        </w:rPr>
        <w:br/>
        <w:t xml:space="preserve">PCR-based detection method. This sequence information </w:t>
      </w:r>
      <w:r>
        <w:rPr>
          <w:color w:val="000000" w:themeColor="text1"/>
        </w:rPr>
        <w:t>was supplied by the Applicant for A1143.</w:t>
      </w:r>
    </w:p>
    <w:p w14:paraId="10AA46A2" w14:textId="77777777" w:rsidR="00E520FE" w:rsidRPr="00932F14" w:rsidRDefault="00D728FF" w:rsidP="00E520FE">
      <w:pPr>
        <w:pStyle w:val="Heading2"/>
      </w:pPr>
      <w:bookmarkStart w:id="51" w:name="_Toc300933435"/>
      <w:bookmarkStart w:id="52" w:name="_Toc490726034"/>
      <w:r>
        <w:t>2.3</w:t>
      </w:r>
      <w:r w:rsidR="00E520FE">
        <w:tab/>
        <w:t>Risk communication</w:t>
      </w:r>
      <w:bookmarkEnd w:id="51"/>
      <w:bookmarkEnd w:id="52"/>
      <w:r w:rsidR="00E520FE">
        <w:t xml:space="preserve"> </w:t>
      </w:r>
    </w:p>
    <w:p w14:paraId="6F646541" w14:textId="77777777" w:rsidR="00D728FF" w:rsidRPr="004B6A58" w:rsidRDefault="00D728FF" w:rsidP="00D728FF">
      <w:pPr>
        <w:pStyle w:val="Heading3"/>
      </w:pPr>
      <w:bookmarkStart w:id="53" w:name="_Toc300933437"/>
      <w:bookmarkStart w:id="54" w:name="_Toc476754826"/>
      <w:bookmarkStart w:id="55" w:name="_Toc490726035"/>
      <w:bookmarkStart w:id="56" w:name="_Toc286391012"/>
      <w:bookmarkStart w:id="57" w:name="_Toc300761912"/>
      <w:bookmarkStart w:id="58" w:name="_Toc300933439"/>
      <w:r>
        <w:t>2.3</w:t>
      </w:r>
      <w:r w:rsidRPr="004B6A58">
        <w:t>.1</w:t>
      </w:r>
      <w:r w:rsidRPr="004B6A58">
        <w:tab/>
        <w:t>Consultation</w:t>
      </w:r>
      <w:bookmarkEnd w:id="53"/>
      <w:bookmarkEnd w:id="54"/>
      <w:bookmarkEnd w:id="55"/>
    </w:p>
    <w:p w14:paraId="798D557D" w14:textId="1E47C05B" w:rsidR="00D728FF" w:rsidRDefault="00D728FF" w:rsidP="00D728FF">
      <w:pPr>
        <w:rPr>
          <w:szCs w:val="22"/>
        </w:rPr>
      </w:pPr>
      <w:r w:rsidRPr="0027513D">
        <w:rPr>
          <w:szCs w:val="22"/>
        </w:rPr>
        <w:t xml:space="preserve">Consultation is a key part of </w:t>
      </w:r>
      <w:r w:rsidR="00556B4A">
        <w:rPr>
          <w:szCs w:val="22"/>
        </w:rPr>
        <w:t xml:space="preserve">the </w:t>
      </w:r>
      <w:r w:rsidRPr="0027513D">
        <w:rPr>
          <w:szCs w:val="22"/>
        </w:rPr>
        <w:t xml:space="preserve">FSANZ standards development process. </w:t>
      </w:r>
    </w:p>
    <w:p w14:paraId="3E158563" w14:textId="77777777" w:rsidR="00D728FF" w:rsidRPr="00801000" w:rsidRDefault="00D728FF" w:rsidP="00D728FF">
      <w:pPr>
        <w:rPr>
          <w:color w:val="000000" w:themeColor="text1"/>
          <w:szCs w:val="22"/>
        </w:rPr>
      </w:pPr>
    </w:p>
    <w:p w14:paraId="5AAAECDF" w14:textId="29F34978" w:rsidR="00D728FF" w:rsidRPr="00801000" w:rsidRDefault="00D728FF" w:rsidP="00D728FF">
      <w:pPr>
        <w:rPr>
          <w:color w:val="000000" w:themeColor="text1"/>
          <w:szCs w:val="22"/>
        </w:rPr>
      </w:pPr>
      <w:r w:rsidRPr="00801000">
        <w:rPr>
          <w:color w:val="000000" w:themeColor="text1"/>
          <w:szCs w:val="22"/>
        </w:rPr>
        <w:t xml:space="preserve">FSANZ </w:t>
      </w:r>
      <w:r w:rsidR="00752037">
        <w:rPr>
          <w:color w:val="000000" w:themeColor="text1"/>
          <w:szCs w:val="22"/>
        </w:rPr>
        <w:t xml:space="preserve">has developed a </w:t>
      </w:r>
      <w:r w:rsidRPr="00801000">
        <w:rPr>
          <w:color w:val="000000" w:themeColor="text1"/>
          <w:szCs w:val="22"/>
        </w:rPr>
        <w:t xml:space="preserve">communication strategy </w:t>
      </w:r>
      <w:r w:rsidR="00752037">
        <w:rPr>
          <w:color w:val="000000" w:themeColor="text1"/>
          <w:szCs w:val="22"/>
        </w:rPr>
        <w:t xml:space="preserve">for this </w:t>
      </w:r>
      <w:r w:rsidRPr="00801000">
        <w:rPr>
          <w:color w:val="000000" w:themeColor="text1"/>
          <w:szCs w:val="22"/>
        </w:rPr>
        <w:t>Application</w:t>
      </w:r>
      <w:r w:rsidR="00752037">
        <w:rPr>
          <w:color w:val="000000" w:themeColor="text1"/>
          <w:szCs w:val="22"/>
        </w:rPr>
        <w:t xml:space="preserve"> that includes the </w:t>
      </w:r>
      <w:r w:rsidR="008B694D">
        <w:rPr>
          <w:color w:val="000000" w:themeColor="text1"/>
          <w:szCs w:val="22"/>
        </w:rPr>
        <w:t xml:space="preserve">development of </w:t>
      </w:r>
      <w:r w:rsidR="00752037">
        <w:rPr>
          <w:color w:val="000000" w:themeColor="text1"/>
          <w:szCs w:val="22"/>
        </w:rPr>
        <w:t>materials to help inform consumers and other interested parties about DHA canola</w:t>
      </w:r>
      <w:r w:rsidRPr="00801000">
        <w:rPr>
          <w:color w:val="000000" w:themeColor="text1"/>
          <w:szCs w:val="22"/>
        </w:rPr>
        <w:t>. All calls for submissions are notified via the FSANZ Notification Circular, media release and through FSANZ’s social media tools and Food Standards News. Subscribers and interested parties are also notified about the availability of reports for public comment.</w:t>
      </w:r>
    </w:p>
    <w:p w14:paraId="6A4E12E8" w14:textId="77777777" w:rsidR="00D728FF" w:rsidRPr="00801000" w:rsidRDefault="00D728FF" w:rsidP="00D728FF">
      <w:pPr>
        <w:rPr>
          <w:color w:val="000000" w:themeColor="text1"/>
          <w:szCs w:val="22"/>
        </w:rPr>
      </w:pPr>
    </w:p>
    <w:p w14:paraId="50383DB3" w14:textId="77777777" w:rsidR="00D728FF" w:rsidRPr="00801000" w:rsidRDefault="00D728FF" w:rsidP="00D728FF">
      <w:pPr>
        <w:rPr>
          <w:color w:val="000000" w:themeColor="text1"/>
          <w:szCs w:val="22"/>
        </w:rPr>
      </w:pPr>
      <w:r w:rsidRPr="00801000">
        <w:rPr>
          <w:color w:val="000000" w:themeColor="text1"/>
          <w:szCs w:val="22"/>
        </w:rPr>
        <w:t>The draft variation will be considered for approval by the FSANZ Board taking into account public comments received on this call for submissions.</w:t>
      </w:r>
    </w:p>
    <w:p w14:paraId="18A3D9B1" w14:textId="77777777" w:rsidR="00D728FF" w:rsidRPr="00801000" w:rsidRDefault="00D728FF" w:rsidP="00D728FF">
      <w:pPr>
        <w:rPr>
          <w:color w:val="000000" w:themeColor="text1"/>
          <w:szCs w:val="22"/>
        </w:rPr>
      </w:pPr>
    </w:p>
    <w:p w14:paraId="60E310B9" w14:textId="77777777" w:rsidR="00D728FF" w:rsidRPr="00801000" w:rsidRDefault="00D728FF" w:rsidP="00D728FF">
      <w:pPr>
        <w:rPr>
          <w:color w:val="000000" w:themeColor="text1"/>
          <w:szCs w:val="22"/>
        </w:rPr>
      </w:pPr>
      <w:r w:rsidRPr="00801000">
        <w:rPr>
          <w:color w:val="000000" w:themeColor="text1"/>
          <w:szCs w:val="22"/>
        </w:rPr>
        <w:t xml:space="preserve">The Applicant and individuals and organisations that make submissions on this Application will be notified at each stage of the assessment. </w:t>
      </w:r>
    </w:p>
    <w:p w14:paraId="0205769B" w14:textId="77777777" w:rsidR="00D728FF" w:rsidRPr="00801000" w:rsidRDefault="00D728FF" w:rsidP="00D728FF">
      <w:pPr>
        <w:rPr>
          <w:color w:val="000000" w:themeColor="text1"/>
          <w:szCs w:val="22"/>
        </w:rPr>
      </w:pPr>
    </w:p>
    <w:p w14:paraId="26A3D347" w14:textId="77777777" w:rsidR="00D728FF" w:rsidRDefault="00D728FF" w:rsidP="00D728FF">
      <w:pPr>
        <w:rPr>
          <w:szCs w:val="22"/>
        </w:rPr>
      </w:pPr>
      <w:r w:rsidRPr="00801000">
        <w:rPr>
          <w:color w:val="000000" w:themeColor="text1"/>
          <w:szCs w:val="22"/>
        </w:rPr>
        <w:t xml:space="preserve">If the draft variation to the Code is approved by the FSANZ Board, that decision will be notified to the </w:t>
      </w:r>
      <w:r w:rsidRPr="00801000">
        <w:rPr>
          <w:color w:val="000000" w:themeColor="text1"/>
          <w:szCs w:val="22"/>
          <w:lang w:val="en-AU"/>
        </w:rPr>
        <w:t>Forum on Food Regulation</w:t>
      </w:r>
      <w:r w:rsidRPr="00801000">
        <w:rPr>
          <w:color w:val="000000" w:themeColor="text1"/>
          <w:szCs w:val="22"/>
        </w:rPr>
        <w:t>. If the Board’s decision is not subject to a request for a review, the Applicant and stakeholders, including the public, will be notified of the gazettal of the variation to the Code in the national press and on the website</w:t>
      </w:r>
      <w:r w:rsidRPr="009572C0">
        <w:rPr>
          <w:color w:val="000000" w:themeColor="text1"/>
          <w:szCs w:val="22"/>
        </w:rPr>
        <w:t>.</w:t>
      </w:r>
    </w:p>
    <w:p w14:paraId="75ED22C2" w14:textId="79244241" w:rsidR="00E520FE" w:rsidRPr="00022DBC" w:rsidRDefault="00D728FF" w:rsidP="00022DBC">
      <w:pPr>
        <w:pStyle w:val="Heading3"/>
      </w:pPr>
      <w:bookmarkStart w:id="59" w:name="_Toc490726036"/>
      <w:bookmarkEnd w:id="56"/>
      <w:r>
        <w:lastRenderedPageBreak/>
        <w:t>2.3</w:t>
      </w:r>
      <w:r w:rsidR="00022DBC" w:rsidRPr="00022DBC">
        <w:t>.2</w:t>
      </w:r>
      <w:r w:rsidR="00E520FE" w:rsidRPr="00022DBC">
        <w:tab/>
        <w:t>World Trade Organization (WTO)</w:t>
      </w:r>
      <w:bookmarkEnd w:id="57"/>
      <w:bookmarkEnd w:id="58"/>
      <w:bookmarkEnd w:id="59"/>
    </w:p>
    <w:p w14:paraId="255B66C3" w14:textId="77777777" w:rsidR="00E520FE" w:rsidRPr="00D50080" w:rsidRDefault="00E520FE" w:rsidP="00E520FE">
      <w:pPr>
        <w:rPr>
          <w:rFonts w:cs="Arial"/>
          <w:color w:val="000000" w:themeColor="text1"/>
        </w:rPr>
      </w:pPr>
      <w:r w:rsidRPr="00D50080">
        <w:rPr>
          <w:rFonts w:cs="Arial"/>
          <w:color w:val="000000" w:themeColor="text1"/>
        </w:rPr>
        <w:t>As members of the World Trade Organization (WTO), Australia and New Zealand are obliged to notify WTO member</w:t>
      </w:r>
      <w:r w:rsidR="00BB5930" w:rsidRPr="00D50080">
        <w:rPr>
          <w:rFonts w:cs="Arial"/>
          <w:color w:val="000000" w:themeColor="text1"/>
        </w:rPr>
        <w:t>s</w:t>
      </w:r>
      <w:r w:rsidRPr="00D50080">
        <w:rPr>
          <w:rFonts w:cs="Arial"/>
          <w:color w:val="000000" w:themeColor="text1"/>
        </w:rPr>
        <w:t xml:space="preserve"> where proposed mandatory regulatory measures are inconsistent with any existing or imminent international standards and the proposed measure may have a significant effect on trade.</w:t>
      </w:r>
    </w:p>
    <w:p w14:paraId="3E820B1A" w14:textId="50D8E538" w:rsidR="00E520FE" w:rsidRPr="00D50080" w:rsidRDefault="00E520FE" w:rsidP="00E520FE">
      <w:pPr>
        <w:rPr>
          <w:color w:val="000000" w:themeColor="text1"/>
          <w:highlight w:val="yellow"/>
        </w:rPr>
      </w:pPr>
    </w:p>
    <w:p w14:paraId="1DF0AA22" w14:textId="53AD50B4" w:rsidR="00E520FE" w:rsidRPr="00D50080" w:rsidRDefault="00E520FE" w:rsidP="003C2DCF">
      <w:pPr>
        <w:widowControl/>
        <w:tabs>
          <w:tab w:val="left" w:pos="1560"/>
        </w:tabs>
        <w:rPr>
          <w:rFonts w:cs="Arial"/>
          <w:iCs/>
          <w:color w:val="000000" w:themeColor="text1"/>
        </w:rPr>
      </w:pPr>
      <w:r w:rsidRPr="00D50080">
        <w:rPr>
          <w:rFonts w:cs="Arial"/>
          <w:color w:val="000000" w:themeColor="text1"/>
        </w:rPr>
        <w:t xml:space="preserve">There are no relevant international standards and amending the Code to </w:t>
      </w:r>
      <w:r w:rsidR="00D50080" w:rsidRPr="00D50080">
        <w:rPr>
          <w:rFonts w:cs="Arial"/>
          <w:color w:val="000000" w:themeColor="text1"/>
        </w:rPr>
        <w:t>permit food derived from DHA canola</w:t>
      </w:r>
      <w:r w:rsidRPr="00D50080">
        <w:rPr>
          <w:rFonts w:cs="Arial"/>
          <w:color w:val="000000" w:themeColor="text1"/>
        </w:rPr>
        <w:t xml:space="preserve"> is unlikely to have a significant effect on international trade</w:t>
      </w:r>
      <w:r w:rsidR="00D50080" w:rsidRPr="00D50080">
        <w:rPr>
          <w:rFonts w:cs="Arial"/>
          <w:color w:val="000000" w:themeColor="text1"/>
        </w:rPr>
        <w:t>.</w:t>
      </w:r>
      <w:r w:rsidRPr="00D50080">
        <w:rPr>
          <w:rFonts w:cs="Arial"/>
          <w:color w:val="000000" w:themeColor="text1"/>
        </w:rPr>
        <w:t xml:space="preserve"> </w:t>
      </w:r>
      <w:r w:rsidRPr="00D50080">
        <w:rPr>
          <w:rFonts w:cs="Arial"/>
          <w:iCs/>
          <w:color w:val="000000" w:themeColor="text1"/>
        </w:rPr>
        <w:t xml:space="preserve">Therefore, a notification to the WTO under </w:t>
      </w:r>
      <w:r w:rsidRPr="00D50080">
        <w:rPr>
          <w:rFonts w:cs="Arial"/>
          <w:color w:val="000000" w:themeColor="text1"/>
        </w:rPr>
        <w:t>Australia’s and New Zealand’s</w:t>
      </w:r>
      <w:r w:rsidRPr="00D50080">
        <w:rPr>
          <w:rFonts w:cs="Arial"/>
          <w:iCs/>
          <w:color w:val="000000" w:themeColor="text1"/>
        </w:rPr>
        <w:t xml:space="preserve"> obligations under the WTO Technical Barriers to Trade or </w:t>
      </w:r>
      <w:r w:rsidR="00D04529" w:rsidRPr="00D50080">
        <w:rPr>
          <w:rFonts w:cs="Arial"/>
          <w:iCs/>
          <w:color w:val="000000" w:themeColor="text1"/>
        </w:rPr>
        <w:t xml:space="preserve">Application of </w:t>
      </w:r>
      <w:r w:rsidRPr="00D50080">
        <w:rPr>
          <w:rFonts w:cs="Arial"/>
          <w:iCs/>
          <w:color w:val="000000" w:themeColor="text1"/>
        </w:rPr>
        <w:t>Sanitary and Phytosanitary Measures Agreement was not considered necessary.</w:t>
      </w:r>
    </w:p>
    <w:p w14:paraId="4B84B47B" w14:textId="77777777" w:rsidR="00E520FE" w:rsidRDefault="00D728FF" w:rsidP="00022DBC">
      <w:pPr>
        <w:pStyle w:val="Heading2"/>
      </w:pPr>
      <w:bookmarkStart w:id="60" w:name="_Toc490726037"/>
      <w:r>
        <w:t>2.4</w:t>
      </w:r>
      <w:r w:rsidR="00022DBC">
        <w:tab/>
        <w:t>FSANZ Act assessment requirements</w:t>
      </w:r>
      <w:bookmarkEnd w:id="60"/>
    </w:p>
    <w:p w14:paraId="3D0CB909" w14:textId="77777777" w:rsidR="00D728FF" w:rsidRPr="00172A56" w:rsidRDefault="00D728FF" w:rsidP="00D728FF">
      <w:pPr>
        <w:rPr>
          <w:color w:val="000000" w:themeColor="text1"/>
        </w:rPr>
      </w:pPr>
      <w:bookmarkStart w:id="61" w:name="_Toc300761897"/>
      <w:bookmarkStart w:id="62" w:name="_Toc300933440"/>
      <w:r w:rsidRPr="00172A56">
        <w:rPr>
          <w:color w:val="000000" w:themeColor="text1"/>
        </w:rPr>
        <w:t xml:space="preserve">When assessing this Application and the subsequent development of a food regulatory measure, FSANZ has had regard to the </w:t>
      </w:r>
      <w:r w:rsidRPr="00172A56" w:rsidDel="00932F14">
        <w:rPr>
          <w:color w:val="000000" w:themeColor="text1"/>
        </w:rPr>
        <w:t xml:space="preserve">following </w:t>
      </w:r>
      <w:r w:rsidRPr="00172A56">
        <w:rPr>
          <w:color w:val="000000" w:themeColor="text1"/>
        </w:rPr>
        <w:t>matters in section 29 of the FSANZ Act:</w:t>
      </w:r>
    </w:p>
    <w:p w14:paraId="2C236CC1" w14:textId="77777777" w:rsidR="00D728FF" w:rsidRPr="00172A56" w:rsidRDefault="00D728FF" w:rsidP="00D728FF">
      <w:pPr>
        <w:pStyle w:val="Heading3"/>
      </w:pPr>
      <w:bookmarkStart w:id="63" w:name="_Toc476754829"/>
      <w:bookmarkStart w:id="64" w:name="_Toc490726038"/>
      <w:r>
        <w:t>2.4</w:t>
      </w:r>
      <w:r w:rsidRPr="00172A56">
        <w:t>.1</w:t>
      </w:r>
      <w:r w:rsidRPr="00172A56">
        <w:tab/>
        <w:t>Section 29</w:t>
      </w:r>
      <w:bookmarkEnd w:id="63"/>
      <w:bookmarkEnd w:id="64"/>
    </w:p>
    <w:p w14:paraId="661003D3" w14:textId="77777777" w:rsidR="00D728FF" w:rsidRPr="00172A56" w:rsidRDefault="00D728FF" w:rsidP="00D728FF">
      <w:pPr>
        <w:pStyle w:val="Heading4"/>
        <w:rPr>
          <w:color w:val="000000" w:themeColor="text1"/>
        </w:rPr>
      </w:pPr>
      <w:r>
        <w:rPr>
          <w:color w:val="000000" w:themeColor="text1"/>
        </w:rPr>
        <w:t>2.4</w:t>
      </w:r>
      <w:r w:rsidRPr="00172A56">
        <w:rPr>
          <w:color w:val="000000" w:themeColor="text1"/>
        </w:rPr>
        <w:t>.1.1</w:t>
      </w:r>
      <w:r w:rsidRPr="00172A56">
        <w:rPr>
          <w:color w:val="000000" w:themeColor="text1"/>
        </w:rPr>
        <w:tab/>
        <w:t>Co</w:t>
      </w:r>
      <w:proofErr w:type="spellStart"/>
      <w:r w:rsidRPr="00172A56">
        <w:rPr>
          <w:color w:val="000000" w:themeColor="text1"/>
          <w:lang w:val="en-AU"/>
        </w:rPr>
        <w:t>nsideration</w:t>
      </w:r>
      <w:proofErr w:type="spellEnd"/>
      <w:r w:rsidRPr="00172A56">
        <w:rPr>
          <w:color w:val="000000" w:themeColor="text1"/>
          <w:lang w:val="en-AU"/>
        </w:rPr>
        <w:t xml:space="preserve"> of costs and benefits</w:t>
      </w:r>
    </w:p>
    <w:p w14:paraId="0F6F9C15" w14:textId="3E04180F" w:rsidR="00D728FF" w:rsidRPr="00801000" w:rsidRDefault="00D728FF" w:rsidP="00D728FF">
      <w:pPr>
        <w:rPr>
          <w:rFonts w:cs="Arial"/>
          <w:color w:val="000000" w:themeColor="text1"/>
        </w:rPr>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xml:space="preserve">, in a letter to FSANZ dated 24 November 2010, granted a standing exemption from the need for </w:t>
      </w:r>
      <w:r w:rsidR="00E67039">
        <w:rPr>
          <w:rFonts w:cs="Arial"/>
          <w:color w:val="000000" w:themeColor="text1"/>
        </w:rPr>
        <w:t xml:space="preserve">FSANZ to prepare </w:t>
      </w:r>
      <w:r w:rsidRPr="00801000">
        <w:rPr>
          <w:rFonts w:cs="Arial"/>
          <w:color w:val="000000" w:themeColor="text1"/>
        </w:rPr>
        <w:t xml:space="preserve">a Regulatory Impact Statement </w:t>
      </w:r>
      <w:r w:rsidR="00072EEC">
        <w:rPr>
          <w:rFonts w:cs="Arial"/>
          <w:color w:val="000000" w:themeColor="text1"/>
        </w:rPr>
        <w:t>in relation to</w:t>
      </w:r>
      <w:r>
        <w:rPr>
          <w:rFonts w:cs="Arial"/>
          <w:color w:val="000000" w:themeColor="text1"/>
        </w:rPr>
        <w:t xml:space="preserve"> the approval of</w:t>
      </w:r>
      <w:r w:rsidRPr="00801000">
        <w:rPr>
          <w:rFonts w:cs="Arial"/>
          <w:color w:val="000000" w:themeColor="text1"/>
        </w:rPr>
        <w:t xml:space="preserve"> genetically modified foods </w:t>
      </w:r>
      <w:r>
        <w:rPr>
          <w:rFonts w:cs="Arial"/>
          <w:color w:val="000000" w:themeColor="text1"/>
        </w:rPr>
        <w:t>(ref</w:t>
      </w:r>
      <w:r w:rsidRPr="00801000">
        <w:rPr>
          <w:rFonts w:cs="Arial"/>
          <w:color w:val="000000" w:themeColor="text1"/>
        </w:rPr>
        <w:t xml:space="preserve"> 12065).</w:t>
      </w:r>
    </w:p>
    <w:p w14:paraId="47C390B8" w14:textId="77777777" w:rsidR="00D728FF" w:rsidRPr="00801000" w:rsidRDefault="00D728FF" w:rsidP="00D728FF">
      <w:pPr>
        <w:rPr>
          <w:rFonts w:cs="Arial"/>
          <w:color w:val="000000" w:themeColor="text1"/>
        </w:rPr>
      </w:pPr>
    </w:p>
    <w:p w14:paraId="3493BA70" w14:textId="77777777" w:rsidR="00D728FF" w:rsidRPr="00801000" w:rsidRDefault="00D728FF" w:rsidP="00D728FF">
      <w:pPr>
        <w:rPr>
          <w:rFonts w:cs="Arial"/>
          <w:color w:val="000000" w:themeColor="text1"/>
        </w:rPr>
      </w:pPr>
      <w:r w:rsidRPr="00801000">
        <w:rPr>
          <w:rFonts w:cs="Arial"/>
          <w:color w:val="000000" w:themeColor="text1"/>
        </w:rPr>
        <w:t>This standing exemption was provided as such changes are considered as minor, machinery and deregulatory in nature. The exemption relates to the introduction of a food to the food supply that has been determined to be safe.</w:t>
      </w:r>
    </w:p>
    <w:p w14:paraId="22641B21" w14:textId="77777777" w:rsidR="00D728FF" w:rsidRPr="00801000" w:rsidRDefault="00D728FF" w:rsidP="00D728FF">
      <w:pPr>
        <w:rPr>
          <w:color w:val="000000" w:themeColor="text1"/>
        </w:rPr>
      </w:pPr>
    </w:p>
    <w:p w14:paraId="75717C8E" w14:textId="77777777" w:rsidR="00D728FF" w:rsidRPr="00801000" w:rsidRDefault="00D728FF" w:rsidP="00D728FF">
      <w:pPr>
        <w:rPr>
          <w:color w:val="000000" w:themeColor="text1"/>
        </w:rPr>
      </w:pPr>
      <w:r w:rsidRPr="00801000">
        <w:rPr>
          <w:color w:val="000000" w:themeColor="text1"/>
        </w:rPr>
        <w:t>Notwithstanding the above exemption, FSANZ conducted a cost benefit analysis. That analysis found the direct and indirect benefits that would arise from a food regulatory measure developed or varied as a result of the Application outwei</w:t>
      </w:r>
      <w:r>
        <w:rPr>
          <w:color w:val="000000" w:themeColor="text1"/>
        </w:rPr>
        <w:t>gh the costs to the community, g</w:t>
      </w:r>
      <w:r w:rsidRPr="00801000">
        <w:rPr>
          <w:color w:val="000000" w:themeColor="text1"/>
        </w:rPr>
        <w:t>overnment or industry that would arise from the development or variation of that measure.</w:t>
      </w:r>
    </w:p>
    <w:p w14:paraId="1DC43CF0" w14:textId="77777777" w:rsidR="00D728FF" w:rsidRPr="00801000" w:rsidRDefault="00D728FF" w:rsidP="00D728FF">
      <w:pPr>
        <w:rPr>
          <w:color w:val="000000" w:themeColor="text1"/>
        </w:rPr>
      </w:pPr>
    </w:p>
    <w:p w14:paraId="0C628581" w14:textId="77777777" w:rsidR="00D728FF" w:rsidRPr="00801000" w:rsidRDefault="00D728FF" w:rsidP="00D728FF">
      <w:pPr>
        <w:rPr>
          <w:color w:val="000000" w:themeColor="text1"/>
        </w:rPr>
      </w:pPr>
      <w:r w:rsidRPr="00801000">
        <w:rPr>
          <w:color w:val="000000" w:themeColor="text1"/>
        </w:rPr>
        <w:t xml:space="preserve">A consideration of the cost/benefit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3AA84FD3" w14:textId="77777777" w:rsidR="00D728FF" w:rsidRDefault="00D728FF" w:rsidP="00D728FF">
      <w:pPr>
        <w:rPr>
          <w:color w:val="000000" w:themeColor="text1"/>
        </w:rPr>
      </w:pPr>
    </w:p>
    <w:p w14:paraId="660B20B3" w14:textId="77777777" w:rsidR="00D728FF" w:rsidRDefault="00D728FF" w:rsidP="00D728FF">
      <w:pPr>
        <w:rPr>
          <w:color w:val="000000" w:themeColor="text1"/>
        </w:rPr>
      </w:pPr>
      <w:r w:rsidRPr="00801000">
        <w:rPr>
          <w:color w:val="000000" w:themeColor="text1"/>
        </w:rPr>
        <w:t xml:space="preserve">The </w:t>
      </w:r>
      <w:r>
        <w:rPr>
          <w:color w:val="000000" w:themeColor="text1"/>
        </w:rPr>
        <w:t>options below are</w:t>
      </w:r>
      <w:r w:rsidRPr="00801000">
        <w:rPr>
          <w:color w:val="000000" w:themeColor="text1"/>
        </w:rPr>
        <w:t xml:space="preserve"> based on </w:t>
      </w:r>
      <w:r>
        <w:rPr>
          <w:color w:val="000000" w:themeColor="text1"/>
        </w:rPr>
        <w:t>DHA canola</w:t>
      </w:r>
      <w:r w:rsidRPr="00801000">
        <w:rPr>
          <w:color w:val="000000" w:themeColor="text1"/>
        </w:rPr>
        <w:t xml:space="preserve"> being approved for growing </w:t>
      </w:r>
      <w:r>
        <w:rPr>
          <w:color w:val="000000" w:themeColor="text1"/>
        </w:rPr>
        <w:t xml:space="preserve">both in Australia and in other countries. </w:t>
      </w:r>
      <w:r w:rsidRPr="00801000">
        <w:rPr>
          <w:rFonts w:cs="Arial"/>
          <w:color w:val="000000" w:themeColor="text1"/>
        </w:rPr>
        <w:t xml:space="preserve">Cultivation in Australia or New Zealand would require separate regulatory </w:t>
      </w:r>
      <w:r w:rsidRPr="000F4350">
        <w:rPr>
          <w:rFonts w:cs="Arial"/>
          <w:color w:val="000000" w:themeColor="text1"/>
        </w:rPr>
        <w:t>approval (</w:t>
      </w:r>
      <w:r w:rsidRPr="0025065D">
        <w:rPr>
          <w:rFonts w:cs="Arial"/>
          <w:color w:val="000000" w:themeColor="text1"/>
        </w:rPr>
        <w:t xml:space="preserve">see section </w:t>
      </w:r>
      <w:r w:rsidRPr="0025065D">
        <w:rPr>
          <w:color w:val="000000" w:themeColor="text1"/>
        </w:rPr>
        <w:t>2.4.1.4).</w:t>
      </w:r>
    </w:p>
    <w:p w14:paraId="53F26511" w14:textId="77777777" w:rsidR="00D728FF" w:rsidRPr="00801000" w:rsidRDefault="00D728FF" w:rsidP="00D728FF">
      <w:pPr>
        <w:pStyle w:val="Heading4"/>
        <w:rPr>
          <w:b w:val="0"/>
          <w:color w:val="000000" w:themeColor="text1"/>
        </w:rPr>
      </w:pPr>
      <w:r w:rsidRPr="00801000">
        <w:rPr>
          <w:b w:val="0"/>
          <w:color w:val="000000" w:themeColor="text1"/>
        </w:rPr>
        <w:t>Option 1 – Prepare a draft variation to Schedule 26</w:t>
      </w:r>
    </w:p>
    <w:p w14:paraId="151C288D" w14:textId="77777777" w:rsidR="00D728FF" w:rsidRPr="00801000" w:rsidRDefault="00D728FF" w:rsidP="00D728FF">
      <w:pPr>
        <w:ind w:left="1418" w:hanging="1418"/>
        <w:rPr>
          <w:color w:val="000000" w:themeColor="text1"/>
        </w:rPr>
      </w:pPr>
      <w:r w:rsidRPr="00801000">
        <w:rPr>
          <w:i/>
          <w:color w:val="000000" w:themeColor="text1"/>
        </w:rPr>
        <w:t>Consumers:</w:t>
      </w:r>
      <w:r w:rsidRPr="00801000">
        <w:rPr>
          <w:color w:val="000000" w:themeColor="text1"/>
        </w:rPr>
        <w:tab/>
      </w:r>
      <w:r>
        <w:rPr>
          <w:color w:val="000000" w:themeColor="text1"/>
        </w:rPr>
        <w:t xml:space="preserve">Food </w:t>
      </w:r>
      <w:r w:rsidR="003449CB">
        <w:rPr>
          <w:color w:val="000000" w:themeColor="text1"/>
        </w:rPr>
        <w:t xml:space="preserve">from DHA canola </w:t>
      </w:r>
      <w:r w:rsidRPr="00801000">
        <w:rPr>
          <w:color w:val="000000" w:themeColor="text1"/>
        </w:rPr>
        <w:t xml:space="preserve">has been assessed as being as safe as food from </w:t>
      </w:r>
      <w:r>
        <w:rPr>
          <w:color w:val="000000" w:themeColor="text1"/>
        </w:rPr>
        <w:t>conventional lines of canola</w:t>
      </w:r>
      <w:r w:rsidRPr="00801000">
        <w:rPr>
          <w:color w:val="000000" w:themeColor="text1"/>
        </w:rPr>
        <w:t>.</w:t>
      </w:r>
    </w:p>
    <w:p w14:paraId="744C67DC" w14:textId="77777777" w:rsidR="00D728FF" w:rsidRPr="00801000" w:rsidRDefault="00D728FF" w:rsidP="00D728FF">
      <w:pPr>
        <w:ind w:left="1418" w:hanging="1418"/>
        <w:rPr>
          <w:color w:val="000000" w:themeColor="text1"/>
        </w:rPr>
      </w:pPr>
    </w:p>
    <w:p w14:paraId="5DC21E33" w14:textId="1A55AE40" w:rsidR="00D728FF" w:rsidRDefault="00D728FF" w:rsidP="006F6563">
      <w:pPr>
        <w:ind w:left="1418"/>
        <w:rPr>
          <w:color w:val="000000" w:themeColor="text1"/>
        </w:rPr>
      </w:pPr>
      <w:r w:rsidRPr="00801000">
        <w:rPr>
          <w:color w:val="000000" w:themeColor="text1"/>
        </w:rPr>
        <w:t>Broader availability of</w:t>
      </w:r>
      <w:r>
        <w:rPr>
          <w:color w:val="000000" w:themeColor="text1"/>
        </w:rPr>
        <w:t xml:space="preserve"> imported canola</w:t>
      </w:r>
      <w:r w:rsidRPr="00801000">
        <w:rPr>
          <w:color w:val="000000" w:themeColor="text1"/>
        </w:rPr>
        <w:t xml:space="preserve"> products since, if </w:t>
      </w:r>
      <w:r w:rsidR="003449CB">
        <w:rPr>
          <w:color w:val="000000" w:themeColor="text1"/>
        </w:rPr>
        <w:t>DHA canola</w:t>
      </w:r>
      <w:r w:rsidRPr="00801000">
        <w:rPr>
          <w:color w:val="000000" w:themeColor="text1"/>
        </w:rPr>
        <w:t xml:space="preserve"> is approved for commercial growing in other countries, there would be no restriction on imported foods containing this line.</w:t>
      </w:r>
    </w:p>
    <w:p w14:paraId="668C905A" w14:textId="77777777" w:rsidR="007A69D8" w:rsidRPr="00801000" w:rsidRDefault="007A69D8" w:rsidP="00D728FF">
      <w:pPr>
        <w:ind w:left="1418" w:hanging="1418"/>
        <w:rPr>
          <w:color w:val="000000" w:themeColor="text1"/>
        </w:rPr>
      </w:pPr>
    </w:p>
    <w:p w14:paraId="7B0D712D" w14:textId="0893149C" w:rsidR="00D728FF" w:rsidRPr="00801000" w:rsidRDefault="005E770D" w:rsidP="00D728FF">
      <w:pPr>
        <w:ind w:left="1418"/>
        <w:rPr>
          <w:color w:val="000000" w:themeColor="text1"/>
        </w:rPr>
      </w:pPr>
      <w:r>
        <w:rPr>
          <w:color w:val="000000" w:themeColor="text1"/>
        </w:rPr>
        <w:t xml:space="preserve">Labelling of food </w:t>
      </w:r>
      <w:r w:rsidR="003449CB">
        <w:rPr>
          <w:color w:val="000000" w:themeColor="text1"/>
        </w:rPr>
        <w:t xml:space="preserve">derived from DHA canola </w:t>
      </w:r>
      <w:r w:rsidR="00D728FF" w:rsidRPr="00801000">
        <w:rPr>
          <w:color w:val="000000" w:themeColor="text1"/>
        </w:rPr>
        <w:t>containing novel DNA</w:t>
      </w:r>
      <w:r w:rsidR="00286AAE">
        <w:rPr>
          <w:color w:val="000000" w:themeColor="text1"/>
        </w:rPr>
        <w:t>,</w:t>
      </w:r>
      <w:r w:rsidR="00D728FF">
        <w:rPr>
          <w:color w:val="000000" w:themeColor="text1"/>
        </w:rPr>
        <w:t xml:space="preserve"> novel </w:t>
      </w:r>
      <w:r w:rsidR="00D728FF" w:rsidRPr="00A91DB3">
        <w:rPr>
          <w:color w:val="000000" w:themeColor="text1"/>
        </w:rPr>
        <w:lastRenderedPageBreak/>
        <w:t>protein</w:t>
      </w:r>
      <w:r w:rsidR="00286AAE" w:rsidRPr="00A91DB3">
        <w:rPr>
          <w:color w:val="000000" w:themeColor="text1"/>
        </w:rPr>
        <w:t xml:space="preserve"> </w:t>
      </w:r>
      <w:r w:rsidR="00A91DB3" w:rsidRPr="00A91DB3">
        <w:rPr>
          <w:color w:val="000000" w:themeColor="text1"/>
        </w:rPr>
        <w:t>or an altered fatty acid profile</w:t>
      </w:r>
      <w:r w:rsidR="00D728FF" w:rsidRPr="00A91DB3">
        <w:rPr>
          <w:color w:val="000000" w:themeColor="text1"/>
        </w:rPr>
        <w:t xml:space="preserve">, </w:t>
      </w:r>
      <w:r>
        <w:rPr>
          <w:color w:val="000000" w:themeColor="text1"/>
        </w:rPr>
        <w:t xml:space="preserve">and is sold packaged (e.g. a bottle of mayonnaise containing DHA canola oil) or unpackaged (e.g. </w:t>
      </w:r>
      <w:r w:rsidRPr="005E770D">
        <w:rPr>
          <w:color w:val="000000" w:themeColor="text1"/>
        </w:rPr>
        <w:t>‘fresh’ bread containing whole canola seeds that is made and packaged on the premises from which it is sold</w:t>
      </w:r>
      <w:r>
        <w:rPr>
          <w:color w:val="000000" w:themeColor="text1"/>
        </w:rPr>
        <w:t xml:space="preserve">) </w:t>
      </w:r>
      <w:r w:rsidR="00D728FF" w:rsidRPr="00A91DB3">
        <w:rPr>
          <w:color w:val="000000" w:themeColor="text1"/>
        </w:rPr>
        <w:t>would allow consumers wishing to avoid these products to do so.</w:t>
      </w:r>
      <w:r>
        <w:rPr>
          <w:color w:val="000000" w:themeColor="text1"/>
        </w:rPr>
        <w:t xml:space="preserve"> </w:t>
      </w:r>
      <w:r w:rsidRPr="005E770D">
        <w:rPr>
          <w:color w:val="000000" w:themeColor="text1"/>
        </w:rPr>
        <w:t xml:space="preserve">Consumers are able to seek information from food premises (e.g. restaurants, takeaway outlets or caterers) that prepare food intended for immediate consumption using </w:t>
      </w:r>
      <w:r>
        <w:rPr>
          <w:color w:val="000000" w:themeColor="text1"/>
        </w:rPr>
        <w:t xml:space="preserve">DHA canola products. </w:t>
      </w:r>
    </w:p>
    <w:p w14:paraId="379C7C0F" w14:textId="77777777" w:rsidR="003449CB" w:rsidRPr="00801000" w:rsidRDefault="003449CB" w:rsidP="00D728FF">
      <w:pPr>
        <w:ind w:left="1418"/>
        <w:rPr>
          <w:color w:val="000000" w:themeColor="text1"/>
        </w:rPr>
      </w:pPr>
    </w:p>
    <w:p w14:paraId="095013FC" w14:textId="6850E3E6" w:rsidR="00D728FF" w:rsidRDefault="00D728FF" w:rsidP="00D728FF">
      <w:pPr>
        <w:ind w:left="1418"/>
        <w:rPr>
          <w:color w:val="000000" w:themeColor="text1"/>
        </w:rPr>
      </w:pPr>
      <w:r w:rsidRPr="00801000">
        <w:rPr>
          <w:color w:val="000000" w:themeColor="text1"/>
        </w:rPr>
        <w:t xml:space="preserve">If </w:t>
      </w:r>
      <w:r w:rsidR="003449CB">
        <w:rPr>
          <w:color w:val="000000" w:themeColor="text1"/>
        </w:rPr>
        <w:t>DHA canola</w:t>
      </w:r>
      <w:r w:rsidRPr="00801000">
        <w:rPr>
          <w:color w:val="000000" w:themeColor="text1"/>
        </w:rPr>
        <w:t xml:space="preserve"> is approved for commercial growing in </w:t>
      </w:r>
      <w:r>
        <w:rPr>
          <w:color w:val="000000" w:themeColor="text1"/>
        </w:rPr>
        <w:t xml:space="preserve">either </w:t>
      </w:r>
      <w:r w:rsidRPr="00801000">
        <w:rPr>
          <w:color w:val="000000" w:themeColor="text1"/>
        </w:rPr>
        <w:t xml:space="preserve">overseas countries </w:t>
      </w:r>
      <w:r>
        <w:rPr>
          <w:color w:val="000000" w:themeColor="text1"/>
        </w:rPr>
        <w:t>or Australia</w:t>
      </w:r>
      <w:r w:rsidR="00691356">
        <w:rPr>
          <w:color w:val="000000" w:themeColor="text1"/>
        </w:rPr>
        <w:t>/New Zealand</w:t>
      </w:r>
      <w:r>
        <w:rPr>
          <w:color w:val="000000" w:themeColor="text1"/>
        </w:rPr>
        <w:t xml:space="preserve"> </w:t>
      </w:r>
      <w:r w:rsidRPr="00801000">
        <w:rPr>
          <w:color w:val="000000" w:themeColor="text1"/>
        </w:rPr>
        <w:t xml:space="preserve">it could be used in the manufacture of products using co-mingled </w:t>
      </w:r>
      <w:r>
        <w:rPr>
          <w:color w:val="000000" w:themeColor="text1"/>
        </w:rPr>
        <w:t>canola seed</w:t>
      </w:r>
      <w:r w:rsidRPr="00801000">
        <w:rPr>
          <w:color w:val="000000" w:themeColor="text1"/>
        </w:rPr>
        <w:t xml:space="preserve">. This means that there would be no cost involved in having to exclude </w:t>
      </w:r>
      <w:r w:rsidR="003449CB">
        <w:rPr>
          <w:color w:val="000000" w:themeColor="text1"/>
        </w:rPr>
        <w:t xml:space="preserve">the DHA canola </w:t>
      </w:r>
      <w:r>
        <w:rPr>
          <w:color w:val="000000" w:themeColor="text1"/>
        </w:rPr>
        <w:t>seed</w:t>
      </w:r>
      <w:r w:rsidRPr="00801000">
        <w:rPr>
          <w:color w:val="000000" w:themeColor="text1"/>
        </w:rPr>
        <w:t xml:space="preserve"> from co-mingling and hence that there would be no consequential need to</w:t>
      </w:r>
      <w:r>
        <w:rPr>
          <w:color w:val="000000" w:themeColor="text1"/>
        </w:rPr>
        <w:t xml:space="preserve"> increase the prices of</w:t>
      </w:r>
      <w:r w:rsidRPr="00801000">
        <w:rPr>
          <w:color w:val="000000" w:themeColor="text1"/>
        </w:rPr>
        <w:t xml:space="preserve"> foods that are manufactured using co-mingled </w:t>
      </w:r>
      <w:r>
        <w:rPr>
          <w:color w:val="000000" w:themeColor="text1"/>
        </w:rPr>
        <w:t>canola seed</w:t>
      </w:r>
      <w:r w:rsidRPr="00801000">
        <w:rPr>
          <w:color w:val="000000" w:themeColor="text1"/>
        </w:rPr>
        <w:t>.</w:t>
      </w:r>
    </w:p>
    <w:p w14:paraId="601B576D" w14:textId="77777777" w:rsidR="003449CB" w:rsidRPr="00801000" w:rsidRDefault="003449CB" w:rsidP="00D728FF">
      <w:pPr>
        <w:ind w:left="1418"/>
        <w:rPr>
          <w:color w:val="000000" w:themeColor="text1"/>
        </w:rPr>
      </w:pPr>
    </w:p>
    <w:p w14:paraId="13F5E93C" w14:textId="77777777" w:rsidR="00D728FF" w:rsidRPr="00801000" w:rsidRDefault="00D728FF" w:rsidP="00D728FF">
      <w:pPr>
        <w:ind w:left="1418" w:hanging="1418"/>
        <w:rPr>
          <w:color w:val="000000" w:themeColor="text1"/>
        </w:rPr>
      </w:pPr>
      <w:r w:rsidRPr="00801000">
        <w:rPr>
          <w:i/>
          <w:color w:val="000000" w:themeColor="text1"/>
        </w:rPr>
        <w:t>Government:</w:t>
      </w:r>
      <w:r w:rsidRPr="00801000">
        <w:rPr>
          <w:color w:val="000000" w:themeColor="text1"/>
        </w:rPr>
        <w:tab/>
      </w:r>
      <w:r w:rsidRPr="00A91DB3">
        <w:rPr>
          <w:color w:val="000000" w:themeColor="text1"/>
        </w:rPr>
        <w:t xml:space="preserve">Approval would avoid any conflict with WTO obligations. As mentioned above, food from </w:t>
      </w:r>
      <w:r w:rsidR="003449CB" w:rsidRPr="00A91DB3">
        <w:rPr>
          <w:color w:val="000000" w:themeColor="text1"/>
        </w:rPr>
        <w:t>DHA canola</w:t>
      </w:r>
      <w:r w:rsidRPr="00A91DB3">
        <w:rPr>
          <w:color w:val="000000" w:themeColor="text1"/>
        </w:rPr>
        <w:t xml:space="preserve"> has been assessed as being</w:t>
      </w:r>
      <w:r w:rsidRPr="00801000">
        <w:rPr>
          <w:color w:val="000000" w:themeColor="text1"/>
        </w:rPr>
        <w:t xml:space="preserve"> as safe as food from </w:t>
      </w:r>
      <w:r>
        <w:rPr>
          <w:color w:val="000000" w:themeColor="text1"/>
        </w:rPr>
        <w:t>conventional lines of canola</w:t>
      </w:r>
      <w:r w:rsidRPr="00801000">
        <w:rPr>
          <w:color w:val="000000" w:themeColor="text1"/>
        </w:rPr>
        <w:t>.</w:t>
      </w:r>
    </w:p>
    <w:p w14:paraId="5C016734" w14:textId="77777777" w:rsidR="00D728FF" w:rsidRPr="00801000" w:rsidRDefault="00D728FF" w:rsidP="00D728FF">
      <w:pPr>
        <w:ind w:left="1418"/>
        <w:rPr>
          <w:color w:val="000000" w:themeColor="text1"/>
        </w:rPr>
      </w:pPr>
    </w:p>
    <w:p w14:paraId="3CE12FE0" w14:textId="77777777" w:rsidR="00D728FF" w:rsidRPr="00801000" w:rsidRDefault="00D728FF" w:rsidP="003449CB">
      <w:pPr>
        <w:ind w:left="1418"/>
        <w:rPr>
          <w:color w:val="000000" w:themeColor="text1"/>
        </w:rPr>
      </w:pPr>
      <w:r w:rsidRPr="00801000">
        <w:rPr>
          <w:color w:val="000000" w:themeColor="text1"/>
        </w:rPr>
        <w:t xml:space="preserve">This option would be cost neutral in terms of compliance costs, as monitoring is required irrespective of whether or not a GM food is approved. In the case of approved GM foods, monitoring is required to ensure compliance with the labelling requirements, and in the case of GM foods that have not been approved, monitoring is required to ensure they are not illegally entering the food supply. </w:t>
      </w:r>
    </w:p>
    <w:p w14:paraId="25F67320" w14:textId="77777777" w:rsidR="00D728FF" w:rsidRPr="00801000" w:rsidRDefault="00D728FF" w:rsidP="00D728FF">
      <w:pPr>
        <w:rPr>
          <w:color w:val="000000" w:themeColor="text1"/>
        </w:rPr>
      </w:pPr>
    </w:p>
    <w:p w14:paraId="7AAB68CA" w14:textId="77777777" w:rsidR="00D728FF" w:rsidRPr="00801000" w:rsidRDefault="00D728FF" w:rsidP="00D728FF">
      <w:pPr>
        <w:ind w:left="1418" w:hanging="1418"/>
        <w:rPr>
          <w:color w:val="000000" w:themeColor="text1"/>
        </w:rPr>
      </w:pPr>
      <w:r w:rsidRPr="00801000">
        <w:rPr>
          <w:i/>
          <w:color w:val="000000" w:themeColor="text1"/>
        </w:rPr>
        <w:t>Industry:</w:t>
      </w:r>
      <w:r w:rsidRPr="00801000">
        <w:rPr>
          <w:color w:val="000000" w:themeColor="text1"/>
        </w:rPr>
        <w:tab/>
        <w:t xml:space="preserve">Foods derived from </w:t>
      </w:r>
      <w:r w:rsidR="003449CB">
        <w:rPr>
          <w:color w:val="000000" w:themeColor="text1"/>
        </w:rPr>
        <w:t>DHA canola</w:t>
      </w:r>
      <w:r w:rsidRPr="00801000">
        <w:rPr>
          <w:color w:val="000000" w:themeColor="text1"/>
        </w:rPr>
        <w:t xml:space="preserve"> would be permitted under the Code, allowing broader market access and increased choice in raw materials. </w:t>
      </w:r>
    </w:p>
    <w:p w14:paraId="1CE0093E" w14:textId="77777777" w:rsidR="00D728FF" w:rsidRPr="00801000" w:rsidRDefault="00D728FF" w:rsidP="00D728FF">
      <w:pPr>
        <w:ind w:left="1418" w:hanging="1418"/>
        <w:rPr>
          <w:color w:val="000000" w:themeColor="text1"/>
        </w:rPr>
      </w:pPr>
    </w:p>
    <w:p w14:paraId="59CF4CBD" w14:textId="77777777" w:rsidR="00D728FF" w:rsidRPr="00801000" w:rsidRDefault="00D728FF" w:rsidP="00D728FF">
      <w:pPr>
        <w:ind w:left="1418"/>
        <w:rPr>
          <w:color w:val="000000" w:themeColor="text1"/>
        </w:rPr>
      </w:pPr>
      <w:r w:rsidRPr="00801000">
        <w:rPr>
          <w:color w:val="000000" w:themeColor="text1"/>
        </w:rPr>
        <w:t xml:space="preserve">The segregation of </w:t>
      </w:r>
      <w:r w:rsidR="003449CB">
        <w:rPr>
          <w:color w:val="000000" w:themeColor="text1"/>
        </w:rPr>
        <w:t>DHA canola seed</w:t>
      </w:r>
      <w:r>
        <w:rPr>
          <w:color w:val="000000" w:themeColor="text1"/>
        </w:rPr>
        <w:t xml:space="preserve"> from conventional canola seed</w:t>
      </w:r>
      <w:r w:rsidRPr="00801000">
        <w:rPr>
          <w:color w:val="000000" w:themeColor="text1"/>
        </w:rPr>
        <w:t>, as for any GM crop, will be driven by industry, based on market preferences. Implicit in this will be a due regard to the cost of segregation.</w:t>
      </w:r>
    </w:p>
    <w:p w14:paraId="00BFD7DD" w14:textId="77777777" w:rsidR="00D728FF" w:rsidRPr="00801000" w:rsidRDefault="00D728FF" w:rsidP="00D728FF">
      <w:pPr>
        <w:ind w:left="1418"/>
        <w:rPr>
          <w:color w:val="000000" w:themeColor="text1"/>
        </w:rPr>
      </w:pPr>
    </w:p>
    <w:p w14:paraId="5AC8EDA9" w14:textId="77777777" w:rsidR="00D728FF" w:rsidRPr="00801000" w:rsidRDefault="00D728FF" w:rsidP="00D728FF">
      <w:pPr>
        <w:ind w:left="1418"/>
        <w:rPr>
          <w:color w:val="000000" w:themeColor="text1"/>
        </w:rPr>
      </w:pPr>
      <w:r w:rsidRPr="00801000">
        <w:rPr>
          <w:color w:val="000000" w:themeColor="text1"/>
        </w:rPr>
        <w:t>Retailers may be able to offer</w:t>
      </w:r>
      <w:r>
        <w:rPr>
          <w:color w:val="000000" w:themeColor="text1"/>
        </w:rPr>
        <w:t xml:space="preserve"> a broader range of canola</w:t>
      </w:r>
      <w:r w:rsidRPr="00801000">
        <w:rPr>
          <w:color w:val="000000" w:themeColor="text1"/>
        </w:rPr>
        <w:t xml:space="preserve"> products or imported foo</w:t>
      </w:r>
      <w:r>
        <w:rPr>
          <w:color w:val="000000" w:themeColor="text1"/>
        </w:rPr>
        <w:t>ds manufactured using canola</w:t>
      </w:r>
      <w:r w:rsidRPr="00801000">
        <w:rPr>
          <w:color w:val="000000" w:themeColor="text1"/>
        </w:rPr>
        <w:t xml:space="preserve"> derivatives.</w:t>
      </w:r>
    </w:p>
    <w:p w14:paraId="695244F5" w14:textId="77777777" w:rsidR="00D728FF" w:rsidRPr="00801000" w:rsidRDefault="00D728FF" w:rsidP="00D728FF">
      <w:pPr>
        <w:ind w:left="1418"/>
        <w:rPr>
          <w:color w:val="000000" w:themeColor="text1"/>
        </w:rPr>
      </w:pPr>
    </w:p>
    <w:p w14:paraId="142C6B22" w14:textId="4508D687" w:rsidR="00D728FF" w:rsidRPr="00A91DB3" w:rsidRDefault="00D728FF" w:rsidP="00D728FF">
      <w:pPr>
        <w:ind w:left="1418"/>
        <w:rPr>
          <w:color w:val="000000" w:themeColor="text1"/>
        </w:rPr>
      </w:pPr>
      <w:r w:rsidRPr="00801000">
        <w:rPr>
          <w:color w:val="000000" w:themeColor="text1"/>
        </w:rPr>
        <w:t xml:space="preserve">There may be additional costs to the food industry as food ingredients derived </w:t>
      </w:r>
      <w:r w:rsidRPr="00A91DB3">
        <w:rPr>
          <w:color w:val="000000" w:themeColor="text1"/>
        </w:rPr>
        <w:t xml:space="preserve">from </w:t>
      </w:r>
      <w:r w:rsidR="003449CB" w:rsidRPr="00A91DB3">
        <w:rPr>
          <w:color w:val="000000" w:themeColor="text1"/>
        </w:rPr>
        <w:t>DHA canola</w:t>
      </w:r>
      <w:r w:rsidRPr="00A91DB3">
        <w:rPr>
          <w:color w:val="000000" w:themeColor="text1"/>
        </w:rPr>
        <w:t xml:space="preserve"> would require the ‘genetically modified’ labelling statement if they contain novel DNA</w:t>
      </w:r>
      <w:r w:rsidR="003D6DDA" w:rsidRPr="00A91DB3">
        <w:rPr>
          <w:color w:val="000000" w:themeColor="text1"/>
        </w:rPr>
        <w:t xml:space="preserve">, </w:t>
      </w:r>
      <w:r w:rsidRPr="00A91DB3">
        <w:rPr>
          <w:color w:val="000000" w:themeColor="text1"/>
        </w:rPr>
        <w:t>novel protein</w:t>
      </w:r>
      <w:r w:rsidR="00A91DB3" w:rsidRPr="00A91DB3">
        <w:rPr>
          <w:color w:val="000000" w:themeColor="text1"/>
        </w:rPr>
        <w:t xml:space="preserve"> or an altered fatty acid profile.</w:t>
      </w:r>
    </w:p>
    <w:p w14:paraId="0716C20F" w14:textId="0C6D0949" w:rsidR="00D728FF" w:rsidRPr="00801000" w:rsidRDefault="00D728FF" w:rsidP="006F6563">
      <w:pPr>
        <w:pStyle w:val="Heading4"/>
        <w:ind w:left="0" w:firstLine="0"/>
        <w:rPr>
          <w:b w:val="0"/>
          <w:color w:val="000000" w:themeColor="text1"/>
        </w:rPr>
      </w:pPr>
      <w:r w:rsidRPr="00A91DB3">
        <w:rPr>
          <w:b w:val="0"/>
          <w:color w:val="000000" w:themeColor="text1"/>
        </w:rPr>
        <w:t>Option 2 – Reject application</w:t>
      </w:r>
    </w:p>
    <w:p w14:paraId="0F1F709A" w14:textId="77777777" w:rsidR="00D728FF" w:rsidRPr="00801000" w:rsidRDefault="00D728FF" w:rsidP="00D728FF">
      <w:pPr>
        <w:ind w:left="1418" w:hanging="1418"/>
        <w:rPr>
          <w:color w:val="000000" w:themeColor="text1"/>
        </w:rPr>
      </w:pPr>
      <w:r w:rsidRPr="00801000">
        <w:rPr>
          <w:i/>
          <w:color w:val="000000" w:themeColor="text1"/>
        </w:rPr>
        <w:t>Consumers:</w:t>
      </w:r>
      <w:r w:rsidRPr="00801000">
        <w:rPr>
          <w:color w:val="000000" w:themeColor="text1"/>
        </w:rPr>
        <w:tab/>
        <w:t>Possible restriction in the ava</w:t>
      </w:r>
      <w:r>
        <w:rPr>
          <w:color w:val="000000" w:themeColor="text1"/>
        </w:rPr>
        <w:t>ilability of imported canola</w:t>
      </w:r>
      <w:r w:rsidRPr="00801000">
        <w:rPr>
          <w:color w:val="000000" w:themeColor="text1"/>
        </w:rPr>
        <w:t xml:space="preserve"> products which may be produced af</w:t>
      </w:r>
      <w:r>
        <w:rPr>
          <w:color w:val="000000" w:themeColor="text1"/>
        </w:rPr>
        <w:t>t</w:t>
      </w:r>
      <w:r w:rsidR="009342E4">
        <w:rPr>
          <w:color w:val="000000" w:themeColor="text1"/>
        </w:rPr>
        <w:t>er co-mingling of seed from DHA canola</w:t>
      </w:r>
      <w:r w:rsidRPr="00801000">
        <w:rPr>
          <w:color w:val="000000" w:themeColor="text1"/>
        </w:rPr>
        <w:t>.</w:t>
      </w:r>
    </w:p>
    <w:p w14:paraId="442F6B6F" w14:textId="77777777" w:rsidR="00D728FF" w:rsidRPr="00801000" w:rsidRDefault="00D728FF" w:rsidP="00D728FF">
      <w:pPr>
        <w:ind w:left="1418" w:hanging="1418"/>
        <w:rPr>
          <w:color w:val="000000" w:themeColor="text1"/>
        </w:rPr>
      </w:pPr>
    </w:p>
    <w:p w14:paraId="6A395099" w14:textId="77777777" w:rsidR="00D728FF" w:rsidRPr="00801000" w:rsidRDefault="00D728FF" w:rsidP="00D728FF">
      <w:pPr>
        <w:ind w:left="1418"/>
        <w:rPr>
          <w:color w:val="000000" w:themeColor="text1"/>
        </w:rPr>
      </w:pPr>
      <w:proofErr w:type="gramStart"/>
      <w:r w:rsidRPr="00801000">
        <w:rPr>
          <w:color w:val="000000" w:themeColor="text1"/>
        </w:rPr>
        <w:t xml:space="preserve">No effect on consumers wishing to avoid GM foods, as food from </w:t>
      </w:r>
      <w:r w:rsidR="009342E4">
        <w:rPr>
          <w:color w:val="000000" w:themeColor="text1"/>
        </w:rPr>
        <w:t>DHA canola</w:t>
      </w:r>
      <w:r w:rsidRPr="00801000">
        <w:rPr>
          <w:color w:val="000000" w:themeColor="text1"/>
        </w:rPr>
        <w:t xml:space="preserve"> is not currently permitted in the food supply.</w:t>
      </w:r>
      <w:proofErr w:type="gramEnd"/>
      <w:r w:rsidRPr="00801000">
        <w:rPr>
          <w:color w:val="000000" w:themeColor="text1"/>
        </w:rPr>
        <w:t xml:space="preserve"> </w:t>
      </w:r>
    </w:p>
    <w:p w14:paraId="33D5DE2A" w14:textId="77777777" w:rsidR="00D728FF" w:rsidRPr="00801000" w:rsidRDefault="00D728FF" w:rsidP="00D728FF">
      <w:pPr>
        <w:ind w:left="1418"/>
        <w:rPr>
          <w:color w:val="000000" w:themeColor="text1"/>
        </w:rPr>
      </w:pPr>
    </w:p>
    <w:p w14:paraId="2EB8D045" w14:textId="77777777" w:rsidR="00D728FF" w:rsidRPr="00801000" w:rsidRDefault="00D728FF" w:rsidP="00D728FF">
      <w:pPr>
        <w:ind w:left="1418"/>
        <w:rPr>
          <w:color w:val="000000" w:themeColor="text1"/>
        </w:rPr>
      </w:pPr>
      <w:proofErr w:type="gramStart"/>
      <w:r w:rsidRPr="00801000">
        <w:rPr>
          <w:color w:val="000000" w:themeColor="text1"/>
        </w:rPr>
        <w:t>Potential increase</w:t>
      </w:r>
      <w:r>
        <w:rPr>
          <w:color w:val="000000" w:themeColor="text1"/>
        </w:rPr>
        <w:t xml:space="preserve"> in price of imported canola</w:t>
      </w:r>
      <w:r w:rsidRPr="00801000">
        <w:rPr>
          <w:color w:val="000000" w:themeColor="text1"/>
        </w:rPr>
        <w:t xml:space="preserve"> food products due to requirement for segrega</w:t>
      </w:r>
      <w:r w:rsidR="009342E4">
        <w:rPr>
          <w:color w:val="000000" w:themeColor="text1"/>
        </w:rPr>
        <w:t>tion of</w:t>
      </w:r>
      <w:r>
        <w:rPr>
          <w:color w:val="000000" w:themeColor="text1"/>
        </w:rPr>
        <w:t xml:space="preserve"> seed</w:t>
      </w:r>
      <w:r w:rsidR="009342E4">
        <w:rPr>
          <w:color w:val="000000" w:themeColor="text1"/>
        </w:rPr>
        <w:t xml:space="preserve"> from DHA canola.</w:t>
      </w:r>
      <w:proofErr w:type="gramEnd"/>
    </w:p>
    <w:p w14:paraId="031AA6D6" w14:textId="77777777" w:rsidR="00D728FF" w:rsidRPr="00801000" w:rsidRDefault="00D728FF" w:rsidP="00D728FF">
      <w:pPr>
        <w:ind w:left="1418"/>
        <w:rPr>
          <w:color w:val="000000" w:themeColor="text1"/>
        </w:rPr>
      </w:pPr>
    </w:p>
    <w:p w14:paraId="307F02F6" w14:textId="77777777" w:rsidR="00D728FF" w:rsidRPr="00801000" w:rsidRDefault="00D728FF" w:rsidP="00D728FF">
      <w:pPr>
        <w:ind w:left="1418" w:hanging="1418"/>
        <w:rPr>
          <w:color w:val="000000" w:themeColor="text1"/>
        </w:rPr>
      </w:pPr>
      <w:r w:rsidRPr="00801000">
        <w:rPr>
          <w:i/>
          <w:color w:val="000000" w:themeColor="text1"/>
        </w:rPr>
        <w:t>Government:</w:t>
      </w:r>
      <w:r w:rsidRPr="00801000">
        <w:rPr>
          <w:color w:val="000000" w:themeColor="text1"/>
        </w:rPr>
        <w:tab/>
        <w:t>Potential effect if considered inconsistent with WTO obligations but this would be in terms of trade policy rather than in government revenue.</w:t>
      </w:r>
    </w:p>
    <w:p w14:paraId="13A15916" w14:textId="77777777" w:rsidR="00D728FF" w:rsidRPr="00801000" w:rsidRDefault="00D728FF" w:rsidP="00D728FF">
      <w:pPr>
        <w:ind w:left="1418" w:hanging="1418"/>
        <w:rPr>
          <w:color w:val="000000" w:themeColor="text1"/>
        </w:rPr>
      </w:pPr>
    </w:p>
    <w:p w14:paraId="3BE8F4C7" w14:textId="5C546AF8" w:rsidR="00D728FF" w:rsidRPr="00801000" w:rsidRDefault="00D728FF" w:rsidP="000C190F">
      <w:pPr>
        <w:ind w:left="1418" w:hanging="1418"/>
        <w:rPr>
          <w:color w:val="000000" w:themeColor="text1"/>
        </w:rPr>
      </w:pPr>
      <w:r w:rsidRPr="00801000">
        <w:rPr>
          <w:i/>
          <w:color w:val="000000" w:themeColor="text1"/>
        </w:rPr>
        <w:t>Industry:</w:t>
      </w:r>
      <w:r w:rsidRPr="00801000">
        <w:rPr>
          <w:color w:val="000000" w:themeColor="text1"/>
        </w:rPr>
        <w:t xml:space="preserve">  </w:t>
      </w:r>
      <w:r w:rsidRPr="00801000">
        <w:rPr>
          <w:color w:val="000000" w:themeColor="text1"/>
        </w:rPr>
        <w:tab/>
        <w:t xml:space="preserve">Possible restriction on imports of </w:t>
      </w:r>
      <w:r>
        <w:rPr>
          <w:color w:val="000000" w:themeColor="text1"/>
        </w:rPr>
        <w:t>canola</w:t>
      </w:r>
      <w:r w:rsidRPr="00801000">
        <w:rPr>
          <w:color w:val="000000" w:themeColor="text1"/>
        </w:rPr>
        <w:t xml:space="preserve"> food products, if </w:t>
      </w:r>
      <w:r w:rsidR="009342E4">
        <w:rPr>
          <w:color w:val="000000" w:themeColor="text1"/>
        </w:rPr>
        <w:t>DHA canola</w:t>
      </w:r>
      <w:r w:rsidRPr="00801000">
        <w:rPr>
          <w:color w:val="000000" w:themeColor="text1"/>
        </w:rPr>
        <w:t xml:space="preserve"> is commercialised overseas.</w:t>
      </w:r>
    </w:p>
    <w:p w14:paraId="73035766" w14:textId="77777777" w:rsidR="00D728FF" w:rsidRPr="00801000" w:rsidRDefault="00D728FF" w:rsidP="00D728FF">
      <w:pPr>
        <w:rPr>
          <w:color w:val="000000" w:themeColor="text1"/>
        </w:rPr>
      </w:pPr>
    </w:p>
    <w:p w14:paraId="623CCD7A" w14:textId="77777777" w:rsidR="00D728FF" w:rsidRPr="00801000" w:rsidRDefault="00D728FF" w:rsidP="00D728FF">
      <w:pPr>
        <w:rPr>
          <w:color w:val="000000" w:themeColor="text1"/>
        </w:rPr>
      </w:pPr>
      <w:r w:rsidRPr="00801000">
        <w:rPr>
          <w:color w:val="000000" w:themeColor="text1"/>
        </w:rPr>
        <w:t xml:space="preserve">As food from </w:t>
      </w:r>
      <w:r w:rsidR="009342E4">
        <w:rPr>
          <w:color w:val="000000" w:themeColor="text1"/>
        </w:rPr>
        <w:t>DHA canola</w:t>
      </w:r>
      <w:r w:rsidRPr="00801000">
        <w:rPr>
          <w:color w:val="000000" w:themeColor="text1"/>
        </w:rPr>
        <w:t xml:space="preserve"> has been found to be as safe as food from c</w:t>
      </w:r>
      <w:r>
        <w:rPr>
          <w:color w:val="000000" w:themeColor="text1"/>
        </w:rPr>
        <w:t>onventional lines of canola</w:t>
      </w:r>
      <w:r w:rsidRPr="00801000">
        <w:rPr>
          <w:color w:val="000000" w:themeColor="text1"/>
        </w:rPr>
        <w:t xml:space="preserve">, not preparing a draft variation </w:t>
      </w:r>
      <w:r>
        <w:rPr>
          <w:color w:val="000000" w:themeColor="text1"/>
        </w:rPr>
        <w:t>offers</w:t>
      </w:r>
      <w:r w:rsidRPr="00801000">
        <w:rPr>
          <w:color w:val="000000" w:themeColor="text1"/>
        </w:rPr>
        <w:t xml:space="preserve"> little benefit to consumers, as approval of </w:t>
      </w:r>
      <w:r w:rsidR="009342E4">
        <w:rPr>
          <w:color w:val="000000" w:themeColor="text1"/>
        </w:rPr>
        <w:t>DHA canola</w:t>
      </w:r>
      <w:r w:rsidRPr="00801000">
        <w:rPr>
          <w:color w:val="000000" w:themeColor="text1"/>
        </w:rPr>
        <w:t xml:space="preserve"> by other countries could limit the availability of imported </w:t>
      </w:r>
      <w:r>
        <w:rPr>
          <w:color w:val="000000" w:themeColor="text1"/>
        </w:rPr>
        <w:t>canola</w:t>
      </w:r>
      <w:r w:rsidRPr="00801000">
        <w:rPr>
          <w:color w:val="000000" w:themeColor="text1"/>
        </w:rPr>
        <w:t xml:space="preserve"> products in the Australian and New Zealand markets.</w:t>
      </w:r>
    </w:p>
    <w:p w14:paraId="51A3B10A" w14:textId="77777777" w:rsidR="00D728FF" w:rsidRPr="00317CA0" w:rsidRDefault="00D728FF" w:rsidP="00D728FF">
      <w:pPr>
        <w:pStyle w:val="Heading4"/>
        <w:rPr>
          <w:color w:val="000000" w:themeColor="text1"/>
        </w:rPr>
      </w:pPr>
      <w:r>
        <w:rPr>
          <w:color w:val="000000" w:themeColor="text1"/>
        </w:rPr>
        <w:t>2.4</w:t>
      </w:r>
      <w:r w:rsidRPr="00317CA0">
        <w:rPr>
          <w:color w:val="000000" w:themeColor="text1"/>
        </w:rPr>
        <w:t>.1.2</w:t>
      </w:r>
      <w:r w:rsidRPr="00317CA0">
        <w:rPr>
          <w:color w:val="000000" w:themeColor="text1"/>
        </w:rPr>
        <w:tab/>
        <w:t>Other measures</w:t>
      </w:r>
    </w:p>
    <w:p w14:paraId="0FCB9FCE" w14:textId="77777777" w:rsidR="00D728FF" w:rsidRPr="00317CA0" w:rsidRDefault="00D728FF" w:rsidP="00D728FF">
      <w:pPr>
        <w:rPr>
          <w:color w:val="000000" w:themeColor="text1"/>
        </w:rPr>
      </w:pPr>
      <w:r w:rsidRPr="00317CA0">
        <w:rPr>
          <w:color w:val="000000" w:themeColor="text1"/>
        </w:rPr>
        <w:t>There are no other measures (whether available to FSANZ or not) that would be more cost-effective than a food</w:t>
      </w:r>
      <w:r>
        <w:rPr>
          <w:color w:val="000000" w:themeColor="text1"/>
        </w:rPr>
        <w:t xml:space="preserve"> regulatory measure varied as a result of</w:t>
      </w:r>
      <w:r w:rsidRPr="00317CA0">
        <w:rPr>
          <w:color w:val="000000" w:themeColor="text1"/>
        </w:rPr>
        <w:t xml:space="preserve"> </w:t>
      </w:r>
      <w:r w:rsidR="009342E4">
        <w:rPr>
          <w:color w:val="000000" w:themeColor="text1"/>
        </w:rPr>
        <w:t>Application A1143</w:t>
      </w:r>
      <w:r w:rsidRPr="00317CA0">
        <w:rPr>
          <w:color w:val="000000" w:themeColor="text1"/>
        </w:rPr>
        <w:t>.</w:t>
      </w:r>
    </w:p>
    <w:p w14:paraId="11BE6D24" w14:textId="77777777" w:rsidR="00D728FF" w:rsidRDefault="00D728FF" w:rsidP="00D728FF">
      <w:pPr>
        <w:pStyle w:val="Heading4"/>
      </w:pPr>
      <w:r>
        <w:t>2.4.1.3</w:t>
      </w:r>
      <w:r>
        <w:tab/>
        <w:t>A</w:t>
      </w:r>
      <w:r w:rsidRPr="00914030">
        <w:t>ny relevant New Zealand standards</w:t>
      </w:r>
    </w:p>
    <w:p w14:paraId="516DC69C" w14:textId="77777777" w:rsidR="00D728FF" w:rsidRDefault="00D728FF" w:rsidP="00D728FF">
      <w:pPr>
        <w:rPr>
          <w:lang w:bidi="ar-SA"/>
        </w:rPr>
      </w:pPr>
      <w:r>
        <w:rPr>
          <w:lang w:bidi="ar-SA"/>
        </w:rPr>
        <w:t>Standard 1.5.2 and Schedule 26 apply in New Zealand.</w:t>
      </w:r>
    </w:p>
    <w:p w14:paraId="7B6921EA" w14:textId="77777777" w:rsidR="00D728FF" w:rsidRPr="00914030" w:rsidRDefault="00D728FF" w:rsidP="00D728FF">
      <w:pPr>
        <w:pStyle w:val="Heading4"/>
      </w:pPr>
      <w:r>
        <w:t>2.4.1.4</w:t>
      </w:r>
      <w:r>
        <w:tab/>
        <w:t>Any other relevant matters</w:t>
      </w:r>
    </w:p>
    <w:p w14:paraId="0B4706A5" w14:textId="61347CD2" w:rsidR="00D728FF" w:rsidRPr="00DA1ABB" w:rsidRDefault="00D728FF" w:rsidP="00D728FF">
      <w:pPr>
        <w:rPr>
          <w:color w:val="000000" w:themeColor="text1"/>
        </w:rPr>
      </w:pPr>
      <w:r w:rsidRPr="00DA1ABB">
        <w:rPr>
          <w:color w:val="000000" w:themeColor="text1"/>
        </w:rPr>
        <w:t>The Applicant has submitted application</w:t>
      </w:r>
      <w:r>
        <w:rPr>
          <w:color w:val="000000" w:themeColor="text1"/>
        </w:rPr>
        <w:t>s</w:t>
      </w:r>
      <w:r w:rsidR="009342E4">
        <w:rPr>
          <w:color w:val="000000" w:themeColor="text1"/>
        </w:rPr>
        <w:t xml:space="preserve"> for regulatory approval of DHA canola</w:t>
      </w:r>
      <w:r w:rsidR="00261166">
        <w:rPr>
          <w:color w:val="000000" w:themeColor="text1"/>
        </w:rPr>
        <w:t xml:space="preserve"> to a number of other regulators</w:t>
      </w:r>
      <w:r w:rsidRPr="00DA1ABB">
        <w:rPr>
          <w:color w:val="000000" w:themeColor="text1"/>
        </w:rPr>
        <w:t xml:space="preserve">, as listed in Table </w:t>
      </w:r>
      <w:r w:rsidR="00B34B71">
        <w:rPr>
          <w:color w:val="000000" w:themeColor="text1"/>
        </w:rPr>
        <w:t>2</w:t>
      </w:r>
      <w:r w:rsidRPr="00DA1ABB">
        <w:rPr>
          <w:color w:val="000000" w:themeColor="text1"/>
        </w:rPr>
        <w:t>.</w:t>
      </w:r>
    </w:p>
    <w:p w14:paraId="3ED6AC5A" w14:textId="77777777" w:rsidR="00D728FF" w:rsidRDefault="00D728FF" w:rsidP="00D728FF">
      <w:pPr>
        <w:rPr>
          <w:color w:val="000000" w:themeColor="text1"/>
        </w:rPr>
      </w:pPr>
    </w:p>
    <w:p w14:paraId="3E8033CC" w14:textId="4A848531" w:rsidR="00140139" w:rsidRPr="00DD5D09" w:rsidRDefault="00140139" w:rsidP="00140139">
      <w:pPr>
        <w:rPr>
          <w:color w:val="000000" w:themeColor="text1"/>
        </w:rPr>
      </w:pPr>
      <w:r w:rsidRPr="003E3B01">
        <w:rPr>
          <w:color w:val="000000" w:themeColor="text1"/>
          <w:szCs w:val="22"/>
          <w:lang w:val="en-US"/>
        </w:rPr>
        <w:t>It is the Applicant’s intention to commercially cultivate DHA canola in Australia and</w:t>
      </w:r>
      <w:r w:rsidR="0053291C">
        <w:rPr>
          <w:color w:val="000000" w:themeColor="text1"/>
          <w:szCs w:val="22"/>
          <w:lang w:val="en-US"/>
        </w:rPr>
        <w:t xml:space="preserve"> an application to the OGTR</w:t>
      </w:r>
      <w:r w:rsidRPr="003E3B01">
        <w:rPr>
          <w:color w:val="000000" w:themeColor="text1"/>
          <w:szCs w:val="22"/>
          <w:lang w:val="en-US"/>
        </w:rPr>
        <w:t xml:space="preserve"> to do this has been submitted. </w:t>
      </w:r>
      <w:r w:rsidRPr="003E3B01">
        <w:rPr>
          <w:color w:val="000000" w:themeColor="text1"/>
        </w:rPr>
        <w:t>Should cultivation in New Zealand be sought, this would require assessment by the Environmental Protection Authority in New Zealand.</w:t>
      </w:r>
    </w:p>
    <w:p w14:paraId="03110E2E" w14:textId="77777777" w:rsidR="00D728FF" w:rsidRDefault="00D728FF" w:rsidP="00D728FF"/>
    <w:p w14:paraId="4059AA84" w14:textId="35A55CDB" w:rsidR="00D728FF" w:rsidRDefault="00D728FF" w:rsidP="00D728FF">
      <w:pPr>
        <w:rPr>
          <w:b/>
          <w:bCs/>
          <w:lang w:val="en-AU"/>
        </w:rPr>
      </w:pPr>
      <w:r>
        <w:rPr>
          <w:b/>
          <w:bCs/>
          <w:lang w:val="en-AU"/>
        </w:rPr>
        <w:t xml:space="preserve">Table </w:t>
      </w:r>
      <w:r w:rsidR="00B34B71">
        <w:rPr>
          <w:b/>
          <w:bCs/>
          <w:lang w:val="en-AU"/>
        </w:rPr>
        <w:t>2</w:t>
      </w:r>
      <w:r>
        <w:rPr>
          <w:b/>
          <w:bCs/>
          <w:lang w:val="en-AU"/>
        </w:rPr>
        <w:t>: List of countries to whom applications</w:t>
      </w:r>
      <w:r w:rsidR="00D45977">
        <w:rPr>
          <w:b/>
          <w:bCs/>
          <w:lang w:val="en-AU"/>
        </w:rPr>
        <w:t xml:space="preserve"> for regulatory approval of DHA canola</w:t>
      </w:r>
      <w:r>
        <w:rPr>
          <w:b/>
          <w:bCs/>
          <w:lang w:val="en-AU"/>
        </w:rPr>
        <w:t xml:space="preserve"> have been submitted</w:t>
      </w:r>
    </w:p>
    <w:p w14:paraId="4AEF5F73" w14:textId="77777777" w:rsidR="00D728FF" w:rsidRDefault="00D728FF" w:rsidP="00D728FF">
      <w:pPr>
        <w:rPr>
          <w:b/>
          <w:bCs/>
          <w:lang w:val="en-AU"/>
        </w:rPr>
      </w:pPr>
    </w:p>
    <w:tbl>
      <w:tblPr>
        <w:tblW w:w="9193" w:type="dxa"/>
        <w:tblInd w:w="-15" w:type="dxa"/>
        <w:tblCellMar>
          <w:left w:w="0" w:type="dxa"/>
          <w:right w:w="0" w:type="dxa"/>
        </w:tblCellMar>
        <w:tblLook w:val="04A0" w:firstRow="1" w:lastRow="0" w:firstColumn="1" w:lastColumn="0" w:noHBand="0" w:noVBand="1"/>
      </w:tblPr>
      <w:tblGrid>
        <w:gridCol w:w="1158"/>
        <w:gridCol w:w="3685"/>
        <w:gridCol w:w="1969"/>
        <w:gridCol w:w="2381"/>
      </w:tblGrid>
      <w:tr w:rsidR="00D728FF" w:rsidRPr="00556B0D" w14:paraId="74F589A5" w14:textId="77777777" w:rsidTr="0046317A">
        <w:trPr>
          <w:trHeight w:val="327"/>
          <w:tblHeader/>
        </w:trPr>
        <w:tc>
          <w:tcPr>
            <w:tcW w:w="1158" w:type="dxa"/>
            <w:tcBorders>
              <w:top w:val="single" w:sz="8" w:space="0" w:color="auto"/>
              <w:left w:val="single" w:sz="8" w:space="0" w:color="auto"/>
              <w:bottom w:val="single" w:sz="4" w:space="0" w:color="auto"/>
              <w:right w:val="single" w:sz="8" w:space="0" w:color="auto"/>
            </w:tcBorders>
            <w:shd w:val="clear" w:color="auto" w:fill="9BBB59"/>
            <w:noWrap/>
            <w:tcMar>
              <w:top w:w="0" w:type="dxa"/>
              <w:left w:w="108" w:type="dxa"/>
              <w:bottom w:w="0" w:type="dxa"/>
              <w:right w:w="108" w:type="dxa"/>
            </w:tcMar>
            <w:vAlign w:val="center"/>
            <w:hideMark/>
          </w:tcPr>
          <w:p w14:paraId="5C2D92EC" w14:textId="77777777" w:rsidR="00D728FF" w:rsidRPr="00556B0D" w:rsidRDefault="00D728FF" w:rsidP="00E469AA">
            <w:pPr>
              <w:jc w:val="center"/>
              <w:rPr>
                <w:rFonts w:eastAsiaTheme="minorHAnsi" w:cs="Arial"/>
                <w:color w:val="FFFFFF" w:themeColor="background1"/>
                <w:sz w:val="18"/>
                <w:szCs w:val="18"/>
              </w:rPr>
            </w:pPr>
            <w:r w:rsidRPr="00556B0D">
              <w:rPr>
                <w:b/>
                <w:bCs/>
                <w:color w:val="FFFFFF" w:themeColor="background1"/>
                <w:sz w:val="18"/>
                <w:szCs w:val="18"/>
              </w:rPr>
              <w:t>Country</w:t>
            </w:r>
          </w:p>
        </w:tc>
        <w:tc>
          <w:tcPr>
            <w:tcW w:w="3685" w:type="dxa"/>
            <w:tcBorders>
              <w:top w:val="single" w:sz="8" w:space="0" w:color="auto"/>
              <w:left w:val="nil"/>
              <w:bottom w:val="single" w:sz="4" w:space="0" w:color="auto"/>
              <w:right w:val="single" w:sz="8" w:space="0" w:color="auto"/>
            </w:tcBorders>
            <w:shd w:val="clear" w:color="auto" w:fill="9BBB59"/>
            <w:noWrap/>
            <w:tcMar>
              <w:top w:w="0" w:type="dxa"/>
              <w:left w:w="108" w:type="dxa"/>
              <w:bottom w:w="0" w:type="dxa"/>
              <w:right w:w="108" w:type="dxa"/>
            </w:tcMar>
            <w:vAlign w:val="center"/>
            <w:hideMark/>
          </w:tcPr>
          <w:p w14:paraId="5B6A40E6" w14:textId="77777777" w:rsidR="00D728FF" w:rsidRPr="00556B0D" w:rsidRDefault="00D728FF" w:rsidP="00E469AA">
            <w:pPr>
              <w:jc w:val="center"/>
              <w:rPr>
                <w:rFonts w:eastAsiaTheme="minorHAnsi" w:cs="Arial"/>
                <w:color w:val="FFFFFF" w:themeColor="background1"/>
                <w:sz w:val="18"/>
                <w:szCs w:val="18"/>
              </w:rPr>
            </w:pPr>
            <w:r w:rsidRPr="00556B0D">
              <w:rPr>
                <w:b/>
                <w:bCs/>
                <w:color w:val="FFFFFF" w:themeColor="background1"/>
                <w:sz w:val="18"/>
                <w:szCs w:val="18"/>
              </w:rPr>
              <w:t>Agency</w:t>
            </w:r>
          </w:p>
        </w:tc>
        <w:tc>
          <w:tcPr>
            <w:tcW w:w="1969" w:type="dxa"/>
            <w:tcBorders>
              <w:top w:val="single" w:sz="8" w:space="0" w:color="auto"/>
              <w:left w:val="nil"/>
              <w:bottom w:val="single" w:sz="4" w:space="0" w:color="auto"/>
              <w:right w:val="single" w:sz="8" w:space="0" w:color="auto"/>
            </w:tcBorders>
            <w:shd w:val="clear" w:color="auto" w:fill="9BBB59"/>
            <w:vAlign w:val="center"/>
            <w:hideMark/>
          </w:tcPr>
          <w:p w14:paraId="1648973E" w14:textId="77777777" w:rsidR="00D728FF" w:rsidRPr="00556B0D" w:rsidRDefault="00D728FF" w:rsidP="00E469AA">
            <w:pPr>
              <w:jc w:val="center"/>
              <w:rPr>
                <w:rFonts w:eastAsiaTheme="minorHAnsi" w:cs="Arial"/>
                <w:b/>
                <w:bCs/>
                <w:color w:val="FFFFFF" w:themeColor="background1"/>
                <w:sz w:val="18"/>
                <w:szCs w:val="18"/>
              </w:rPr>
            </w:pPr>
            <w:r w:rsidRPr="00556B0D">
              <w:rPr>
                <w:b/>
                <w:bCs/>
                <w:color w:val="FFFFFF" w:themeColor="background1"/>
                <w:sz w:val="18"/>
                <w:szCs w:val="18"/>
              </w:rPr>
              <w:t>Type of approval sought</w:t>
            </w:r>
          </w:p>
        </w:tc>
        <w:tc>
          <w:tcPr>
            <w:tcW w:w="2381" w:type="dxa"/>
            <w:tcBorders>
              <w:top w:val="single" w:sz="8" w:space="0" w:color="auto"/>
              <w:left w:val="nil"/>
              <w:bottom w:val="single" w:sz="4" w:space="0" w:color="auto"/>
              <w:right w:val="single" w:sz="8" w:space="0" w:color="auto"/>
            </w:tcBorders>
            <w:shd w:val="clear" w:color="auto" w:fill="9BBB59"/>
            <w:vAlign w:val="center"/>
            <w:hideMark/>
          </w:tcPr>
          <w:p w14:paraId="79DED746" w14:textId="77777777" w:rsidR="00D728FF" w:rsidRPr="00556B0D" w:rsidRDefault="00D728FF" w:rsidP="00E469AA">
            <w:pPr>
              <w:jc w:val="center"/>
              <w:rPr>
                <w:rFonts w:eastAsiaTheme="minorHAnsi" w:cs="Arial"/>
                <w:b/>
                <w:bCs/>
                <w:color w:val="FFFFFF" w:themeColor="background1"/>
                <w:sz w:val="18"/>
                <w:szCs w:val="18"/>
              </w:rPr>
            </w:pPr>
            <w:r w:rsidRPr="00556B0D">
              <w:rPr>
                <w:b/>
                <w:bCs/>
                <w:color w:val="FFFFFF" w:themeColor="background1"/>
                <w:sz w:val="18"/>
                <w:szCs w:val="18"/>
              </w:rPr>
              <w:t>Status</w:t>
            </w:r>
          </w:p>
        </w:tc>
      </w:tr>
      <w:tr w:rsidR="001D643E" w:rsidRPr="00556B0D" w14:paraId="5AF61D43" w14:textId="77777777" w:rsidTr="0046317A">
        <w:trPr>
          <w:trHeight w:val="339"/>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0AAE6A78" w14:textId="77777777" w:rsidR="001D643E" w:rsidRPr="00556B0D" w:rsidRDefault="001D643E" w:rsidP="00E469AA">
            <w:pPr>
              <w:jc w:val="center"/>
              <w:rPr>
                <w:sz w:val="18"/>
                <w:szCs w:val="18"/>
              </w:rPr>
            </w:pPr>
            <w:r w:rsidRPr="00556B0D">
              <w:rPr>
                <w:sz w:val="18"/>
                <w:szCs w:val="18"/>
              </w:rPr>
              <w:t>Australia</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3723E1" w14:textId="07646FCA" w:rsidR="001D643E" w:rsidRPr="00556B0D" w:rsidRDefault="001D643E" w:rsidP="00E469AA">
            <w:pPr>
              <w:jc w:val="center"/>
              <w:rPr>
                <w:sz w:val="18"/>
                <w:szCs w:val="18"/>
              </w:rPr>
            </w:pPr>
            <w:r w:rsidRPr="00556B0D">
              <w:rPr>
                <w:sz w:val="18"/>
                <w:szCs w:val="18"/>
              </w:rPr>
              <w:t>Office of the Gene Technology Regulator</w:t>
            </w:r>
            <w:r w:rsidR="00D2546D" w:rsidRPr="00556B0D">
              <w:rPr>
                <w:sz w:val="18"/>
                <w:szCs w:val="18"/>
              </w:rPr>
              <w:t xml:space="preserve"> (OGTR)</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3E6867F9" w14:textId="6FFF9A85" w:rsidR="001D643E" w:rsidRPr="00F95C29" w:rsidRDefault="00D45977" w:rsidP="00E469AA">
            <w:pPr>
              <w:jc w:val="center"/>
              <w:rPr>
                <w:sz w:val="18"/>
                <w:szCs w:val="18"/>
              </w:rPr>
            </w:pPr>
            <w:r w:rsidRPr="00556B0D">
              <w:rPr>
                <w:sz w:val="18"/>
                <w:szCs w:val="18"/>
              </w:rPr>
              <w:t>e</w:t>
            </w:r>
            <w:r w:rsidR="001D643E" w:rsidRPr="00556B0D">
              <w:rPr>
                <w:sz w:val="18"/>
                <w:szCs w:val="18"/>
              </w:rPr>
              <w:t>nvironment</w:t>
            </w:r>
            <w:r w:rsidRPr="00556B0D">
              <w:rPr>
                <w:sz w:val="18"/>
                <w:szCs w:val="18"/>
                <w:vertAlign w:val="superscript"/>
              </w:rPr>
              <w:t>1</w:t>
            </w:r>
            <w:r w:rsidR="00F95C29">
              <w:rPr>
                <w:sz w:val="18"/>
                <w:szCs w:val="18"/>
              </w:rPr>
              <w:t>/feed</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6699140" w14:textId="77777777" w:rsidR="001D643E" w:rsidRPr="00556B0D" w:rsidRDefault="001D643E" w:rsidP="00E469AA">
            <w:pPr>
              <w:jc w:val="center"/>
              <w:rPr>
                <w:sz w:val="18"/>
                <w:szCs w:val="18"/>
              </w:rPr>
            </w:pPr>
            <w:r w:rsidRPr="00556B0D">
              <w:rPr>
                <w:sz w:val="18"/>
                <w:szCs w:val="18"/>
              </w:rPr>
              <w:t>Under assessment</w:t>
            </w:r>
          </w:p>
        </w:tc>
      </w:tr>
      <w:tr w:rsidR="00A31F36" w:rsidRPr="00556B0D" w14:paraId="7F8BD453" w14:textId="77777777" w:rsidTr="0046317A">
        <w:trPr>
          <w:trHeight w:val="339"/>
        </w:trPr>
        <w:tc>
          <w:tcPr>
            <w:tcW w:w="1158"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14:paraId="2ECD8B74" w14:textId="57144575" w:rsidR="00A31F36" w:rsidRPr="00556B0D" w:rsidRDefault="00A31F36" w:rsidP="00E469AA">
            <w:pPr>
              <w:jc w:val="center"/>
              <w:rPr>
                <w:rFonts w:eastAsiaTheme="minorHAnsi" w:cs="Arial"/>
                <w:sz w:val="18"/>
                <w:szCs w:val="18"/>
              </w:rPr>
            </w:pPr>
            <w:r>
              <w:rPr>
                <w:sz w:val="18"/>
                <w:szCs w:val="18"/>
              </w:rPr>
              <w:t>USA</w:t>
            </w:r>
          </w:p>
        </w:tc>
        <w:tc>
          <w:tcPr>
            <w:tcW w:w="3685" w:type="dxa"/>
            <w:tcBorders>
              <w:top w:val="single" w:sz="4" w:space="0" w:color="auto"/>
              <w:left w:val="single" w:sz="4" w:space="0" w:color="auto"/>
              <w:bottom w:val="single" w:sz="4" w:space="0" w:color="auto"/>
              <w:right w:val="single" w:sz="4" w:space="0" w:color="auto"/>
            </w:tcBorders>
            <w:shd w:val="clear" w:color="auto" w:fill="EAF1DD"/>
            <w:tcMar>
              <w:top w:w="0" w:type="dxa"/>
              <w:left w:w="108" w:type="dxa"/>
              <w:bottom w:w="0" w:type="dxa"/>
              <w:right w:w="108" w:type="dxa"/>
            </w:tcMar>
            <w:vAlign w:val="center"/>
            <w:hideMark/>
          </w:tcPr>
          <w:p w14:paraId="1E6B9B23" w14:textId="4B312A1F" w:rsidR="00A31F36" w:rsidRPr="00556B0D" w:rsidRDefault="00A31F36" w:rsidP="00E469AA">
            <w:pPr>
              <w:jc w:val="center"/>
              <w:rPr>
                <w:rFonts w:eastAsiaTheme="minorHAnsi" w:cs="Arial"/>
                <w:sz w:val="18"/>
                <w:szCs w:val="18"/>
              </w:rPr>
            </w:pPr>
            <w:r>
              <w:rPr>
                <w:sz w:val="18"/>
                <w:szCs w:val="18"/>
              </w:rPr>
              <w:t>Food and Drug Administration (FDA)</w:t>
            </w:r>
          </w:p>
        </w:tc>
        <w:tc>
          <w:tcPr>
            <w:tcW w:w="196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12B57D2" w14:textId="2B41C713" w:rsidR="00A31F36" w:rsidRPr="00556B0D" w:rsidRDefault="00143437" w:rsidP="00E469AA">
            <w:pPr>
              <w:jc w:val="center"/>
              <w:rPr>
                <w:rFonts w:eastAsiaTheme="minorHAnsi" w:cs="Arial"/>
                <w:sz w:val="18"/>
                <w:szCs w:val="18"/>
              </w:rPr>
            </w:pPr>
            <w:r>
              <w:rPr>
                <w:sz w:val="18"/>
                <w:szCs w:val="18"/>
              </w:rPr>
              <w:t>food</w:t>
            </w:r>
            <w:r w:rsidR="00F95C29">
              <w:rPr>
                <w:sz w:val="18"/>
                <w:szCs w:val="18"/>
              </w:rPr>
              <w:t>/feed</w:t>
            </w:r>
          </w:p>
        </w:tc>
        <w:tc>
          <w:tcPr>
            <w:tcW w:w="238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6D4DF6B" w14:textId="08D60B66" w:rsidR="00A31F36" w:rsidRPr="00556B0D" w:rsidRDefault="00A31F36" w:rsidP="00E469AA">
            <w:pPr>
              <w:jc w:val="center"/>
              <w:rPr>
                <w:rFonts w:eastAsiaTheme="minorHAnsi" w:cs="Arial"/>
                <w:sz w:val="18"/>
                <w:szCs w:val="18"/>
              </w:rPr>
            </w:pPr>
            <w:r>
              <w:rPr>
                <w:sz w:val="18"/>
                <w:szCs w:val="18"/>
              </w:rPr>
              <w:t>Under assessment</w:t>
            </w:r>
          </w:p>
        </w:tc>
      </w:tr>
      <w:tr w:rsidR="00A31F36" w:rsidRPr="00556B0D" w14:paraId="6998A446" w14:textId="77777777" w:rsidTr="0046317A">
        <w:trPr>
          <w:trHeight w:val="5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D66CB" w14:textId="77777777" w:rsidR="00A31F36" w:rsidRPr="0046317A" w:rsidRDefault="00A31F36" w:rsidP="00E469AA">
            <w:pPr>
              <w:jc w:val="center"/>
              <w:rPr>
                <w:rFonts w:eastAsiaTheme="minorHAnsi"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EAF1DD"/>
            <w:tcMar>
              <w:top w:w="0" w:type="dxa"/>
              <w:left w:w="108" w:type="dxa"/>
              <w:bottom w:w="0" w:type="dxa"/>
              <w:right w:w="108" w:type="dxa"/>
            </w:tcMar>
            <w:vAlign w:val="center"/>
            <w:hideMark/>
          </w:tcPr>
          <w:p w14:paraId="4532357A" w14:textId="77777777" w:rsidR="00A31F36" w:rsidRDefault="00A31F36">
            <w:pPr>
              <w:jc w:val="center"/>
              <w:rPr>
                <w:rFonts w:eastAsiaTheme="minorHAnsi" w:cs="Arial"/>
                <w:sz w:val="18"/>
                <w:szCs w:val="18"/>
              </w:rPr>
            </w:pPr>
            <w:r>
              <w:rPr>
                <w:sz w:val="18"/>
                <w:szCs w:val="18"/>
              </w:rPr>
              <w:t xml:space="preserve">United States Department of Agriculture Biotechnology Regulatory Services </w:t>
            </w:r>
          </w:p>
          <w:p w14:paraId="443D5023" w14:textId="323A670F" w:rsidR="00A31F36" w:rsidRPr="0046317A" w:rsidRDefault="00A31F36" w:rsidP="00E469AA">
            <w:pPr>
              <w:jc w:val="center"/>
              <w:rPr>
                <w:rFonts w:eastAsiaTheme="minorHAnsi" w:cs="Arial"/>
                <w:sz w:val="18"/>
                <w:szCs w:val="18"/>
              </w:rPr>
            </w:pPr>
            <w:r>
              <w:rPr>
                <w:sz w:val="18"/>
                <w:szCs w:val="18"/>
              </w:rPr>
              <w:t>(USDA BRS)</w:t>
            </w:r>
          </w:p>
        </w:tc>
        <w:tc>
          <w:tcPr>
            <w:tcW w:w="196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F38391C" w14:textId="0FC62F62" w:rsidR="00A31F36" w:rsidRPr="0046317A" w:rsidRDefault="00A31F36" w:rsidP="00E469AA">
            <w:pPr>
              <w:jc w:val="center"/>
              <w:rPr>
                <w:rFonts w:eastAsiaTheme="minorHAnsi" w:cs="Arial"/>
                <w:sz w:val="18"/>
                <w:szCs w:val="18"/>
              </w:rPr>
            </w:pPr>
            <w:r>
              <w:rPr>
                <w:sz w:val="18"/>
                <w:szCs w:val="18"/>
              </w:rPr>
              <w:t>environment</w:t>
            </w:r>
            <w:r>
              <w:rPr>
                <w:sz w:val="18"/>
                <w:szCs w:val="18"/>
                <w:vertAlign w:val="superscript"/>
              </w:rPr>
              <w:t>1</w:t>
            </w:r>
          </w:p>
        </w:tc>
        <w:tc>
          <w:tcPr>
            <w:tcW w:w="238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AF3E4AE" w14:textId="4A30815C" w:rsidR="00A31F36" w:rsidRPr="0046317A" w:rsidRDefault="00A31F36" w:rsidP="00E469AA">
            <w:pPr>
              <w:jc w:val="center"/>
              <w:rPr>
                <w:rFonts w:eastAsiaTheme="minorHAnsi" w:cs="Arial"/>
                <w:sz w:val="18"/>
                <w:szCs w:val="18"/>
              </w:rPr>
            </w:pPr>
            <w:r>
              <w:rPr>
                <w:sz w:val="18"/>
                <w:szCs w:val="18"/>
              </w:rPr>
              <w:t>Under assessment</w:t>
            </w:r>
          </w:p>
        </w:tc>
      </w:tr>
      <w:tr w:rsidR="00A31F36" w:rsidRPr="00556B0D" w14:paraId="37FDDDF8" w14:textId="77777777" w:rsidTr="0046317A">
        <w:trPr>
          <w:trHeight w:val="506"/>
        </w:trPr>
        <w:tc>
          <w:tcPr>
            <w:tcW w:w="115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FE3130F" w14:textId="349C0F48" w:rsidR="00A31F36" w:rsidRPr="00556B0D" w:rsidRDefault="00A31F36" w:rsidP="00E469AA">
            <w:pPr>
              <w:jc w:val="center"/>
              <w:rPr>
                <w:rFonts w:eastAsiaTheme="minorHAnsi" w:cs="Arial"/>
                <w:sz w:val="18"/>
                <w:szCs w:val="18"/>
              </w:rPr>
            </w:pPr>
            <w:r>
              <w:rPr>
                <w:sz w:val="18"/>
                <w:szCs w:val="18"/>
              </w:rPr>
              <w:t>Canada</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55EE310" w14:textId="2B8D66B3" w:rsidR="00A31F36" w:rsidRPr="00556B0D" w:rsidRDefault="00A31F36" w:rsidP="00E469AA">
            <w:pPr>
              <w:jc w:val="center"/>
              <w:rPr>
                <w:rFonts w:eastAsiaTheme="minorHAnsi" w:cs="Arial"/>
                <w:sz w:val="18"/>
                <w:szCs w:val="18"/>
              </w:rPr>
            </w:pPr>
            <w:r>
              <w:rPr>
                <w:sz w:val="18"/>
                <w:szCs w:val="18"/>
              </w:rPr>
              <w:t>Health Canada (HC)</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9DAFF" w14:textId="087BF5FA" w:rsidR="00A31F36" w:rsidRPr="00556B0D" w:rsidRDefault="00A31F36" w:rsidP="00E469AA">
            <w:pPr>
              <w:jc w:val="center"/>
              <w:rPr>
                <w:rFonts w:eastAsiaTheme="minorHAnsi" w:cs="Arial"/>
                <w:sz w:val="18"/>
                <w:szCs w:val="18"/>
              </w:rPr>
            </w:pPr>
            <w:r>
              <w:rPr>
                <w:sz w:val="18"/>
                <w:szCs w:val="18"/>
              </w:rPr>
              <w:t>food</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3179E" w14:textId="663ABA5C" w:rsidR="00A31F36" w:rsidRPr="00556B0D" w:rsidRDefault="00A31F36" w:rsidP="00E469AA">
            <w:pPr>
              <w:jc w:val="center"/>
              <w:rPr>
                <w:rFonts w:eastAsiaTheme="minorHAnsi" w:cs="Arial"/>
                <w:sz w:val="18"/>
                <w:szCs w:val="18"/>
              </w:rPr>
            </w:pPr>
            <w:r>
              <w:rPr>
                <w:sz w:val="18"/>
                <w:szCs w:val="18"/>
              </w:rPr>
              <w:t>Under assessment</w:t>
            </w:r>
          </w:p>
        </w:tc>
      </w:tr>
      <w:tr w:rsidR="00A31F36" w:rsidRPr="00556B0D" w14:paraId="493C4DCF" w14:textId="77777777" w:rsidTr="0046317A">
        <w:trPr>
          <w:trHeight w:val="50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393735" w14:textId="77777777" w:rsidR="00A31F36" w:rsidRPr="0046317A" w:rsidRDefault="00A31F36" w:rsidP="00E469AA">
            <w:pPr>
              <w:jc w:val="center"/>
              <w:rPr>
                <w:rFonts w:eastAsiaTheme="minorHAnsi"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B07A401" w14:textId="4D9ABA8E" w:rsidR="00A31F36" w:rsidRPr="0046317A" w:rsidRDefault="00A31F36" w:rsidP="00E469AA">
            <w:pPr>
              <w:jc w:val="center"/>
              <w:rPr>
                <w:rFonts w:eastAsiaTheme="minorHAnsi" w:cs="Arial"/>
                <w:sz w:val="18"/>
                <w:szCs w:val="18"/>
              </w:rPr>
            </w:pPr>
            <w:r>
              <w:rPr>
                <w:sz w:val="18"/>
                <w:szCs w:val="18"/>
              </w:rPr>
              <w:t>Canadian Food Inspection Agency (CFIA)</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B733B" w14:textId="7B6640A7" w:rsidR="00A31F36" w:rsidRPr="0046317A" w:rsidRDefault="00A31F36" w:rsidP="00E469AA">
            <w:pPr>
              <w:jc w:val="center"/>
              <w:rPr>
                <w:rFonts w:eastAsiaTheme="minorHAnsi" w:cs="Arial"/>
                <w:sz w:val="18"/>
                <w:szCs w:val="18"/>
              </w:rPr>
            </w:pPr>
            <w:r>
              <w:rPr>
                <w:sz w:val="18"/>
                <w:szCs w:val="18"/>
              </w:rPr>
              <w:t>environment</w:t>
            </w:r>
            <w:r>
              <w:rPr>
                <w:sz w:val="18"/>
                <w:szCs w:val="18"/>
                <w:vertAlign w:val="superscript"/>
              </w:rPr>
              <w:t>1</w:t>
            </w:r>
            <w:r w:rsidR="00F95C29">
              <w:rPr>
                <w:sz w:val="18"/>
                <w:szCs w:val="18"/>
              </w:rPr>
              <w:t>/feed</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9978" w14:textId="3733BF88" w:rsidR="00A31F36" w:rsidRPr="0046317A" w:rsidRDefault="00A31F36" w:rsidP="00E469AA">
            <w:pPr>
              <w:jc w:val="center"/>
              <w:rPr>
                <w:rFonts w:eastAsiaTheme="minorHAnsi" w:cs="Arial"/>
                <w:sz w:val="18"/>
                <w:szCs w:val="18"/>
              </w:rPr>
            </w:pPr>
            <w:r>
              <w:rPr>
                <w:sz w:val="18"/>
                <w:szCs w:val="18"/>
              </w:rPr>
              <w:t>Under assessment</w:t>
            </w:r>
          </w:p>
        </w:tc>
      </w:tr>
    </w:tbl>
    <w:p w14:paraId="2981E766" w14:textId="77777777" w:rsidR="00D728FF" w:rsidRPr="00EA0C66" w:rsidRDefault="00D728FF" w:rsidP="00D728FF">
      <w:pPr>
        <w:rPr>
          <w:rFonts w:eastAsiaTheme="minorHAnsi" w:cs="Arial"/>
          <w:b/>
          <w:bCs/>
          <w:sz w:val="18"/>
          <w:szCs w:val="18"/>
        </w:rPr>
      </w:pPr>
      <w:r w:rsidRPr="00EA0C66">
        <w:rPr>
          <w:sz w:val="18"/>
          <w:szCs w:val="18"/>
          <w:vertAlign w:val="superscript"/>
          <w:lang w:val="en-AU"/>
        </w:rPr>
        <w:t>1</w:t>
      </w:r>
      <w:r w:rsidRPr="00EA0C66">
        <w:rPr>
          <w:sz w:val="18"/>
          <w:szCs w:val="18"/>
          <w:lang w:val="en-AU"/>
        </w:rPr>
        <w:t>an authorisation for ‘environment’ indicates the line can be grown commercially in that country.</w:t>
      </w:r>
    </w:p>
    <w:p w14:paraId="77970ECA" w14:textId="40FEE715" w:rsidR="00022DBC" w:rsidRPr="00914030" w:rsidRDefault="00481AFD" w:rsidP="00022DBC">
      <w:pPr>
        <w:pStyle w:val="Heading3"/>
      </w:pPr>
      <w:bookmarkStart w:id="65" w:name="_Toc490726039"/>
      <w:r>
        <w:t>2.4</w:t>
      </w:r>
      <w:r w:rsidR="00BE3818">
        <w:t>.2</w:t>
      </w:r>
      <w:r w:rsidR="00022DBC" w:rsidRPr="00914030">
        <w:t>.</w:t>
      </w:r>
      <w:r w:rsidR="00022DBC" w:rsidRPr="00914030">
        <w:tab/>
      </w:r>
      <w:r w:rsidR="00BE3818">
        <w:t>Subsection 18(1)</w:t>
      </w:r>
      <w:bookmarkEnd w:id="65"/>
      <w:r w:rsidR="00BE3818">
        <w:t xml:space="preserve"> </w:t>
      </w:r>
      <w:bookmarkEnd w:id="61"/>
      <w:bookmarkEnd w:id="62"/>
    </w:p>
    <w:p w14:paraId="791F5A4F"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42D87D5D" w14:textId="2CB16762" w:rsidR="00022DBC" w:rsidRPr="00914030" w:rsidRDefault="00481AFD" w:rsidP="00022DBC">
      <w:pPr>
        <w:pStyle w:val="Heading4"/>
        <w:rPr>
          <w:lang w:eastAsia="en-AU"/>
        </w:rPr>
      </w:pPr>
      <w:bookmarkStart w:id="66" w:name="_Toc297029117"/>
      <w:bookmarkStart w:id="67" w:name="_Toc300761898"/>
      <w:bookmarkStart w:id="68"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66"/>
      <w:bookmarkEnd w:id="67"/>
      <w:bookmarkEnd w:id="68"/>
    </w:p>
    <w:p w14:paraId="4485CC08" w14:textId="2DDCD830" w:rsidR="00E469AA" w:rsidRPr="00DA1ABB" w:rsidRDefault="00E469AA" w:rsidP="00E469AA">
      <w:pPr>
        <w:rPr>
          <w:color w:val="000000" w:themeColor="text1"/>
        </w:rPr>
      </w:pPr>
      <w:bookmarkStart w:id="69" w:name="_Toc300761899"/>
      <w:bookmarkStart w:id="70" w:name="_Toc300933442"/>
      <w:r>
        <w:rPr>
          <w:color w:val="000000" w:themeColor="text1"/>
        </w:rPr>
        <w:t>Food derived from DHA canola has been assessed based on</w:t>
      </w:r>
      <w:r w:rsidRPr="00DA1ABB">
        <w:rPr>
          <w:color w:val="000000" w:themeColor="text1"/>
        </w:rPr>
        <w:t xml:space="preserve"> the </w:t>
      </w:r>
      <w:r>
        <w:rPr>
          <w:color w:val="000000" w:themeColor="text1"/>
        </w:rPr>
        <w:t xml:space="preserve">data requirements provided in the FSANZ </w:t>
      </w:r>
      <w:hyperlink r:id="rId23" w:history="1">
        <w:r w:rsidRPr="00E70572">
          <w:rPr>
            <w:rStyle w:val="Hyperlink"/>
            <w:i/>
          </w:rPr>
          <w:t>Application Handbook</w:t>
        </w:r>
      </w:hyperlink>
      <w:r>
        <w:rPr>
          <w:rStyle w:val="FootnoteReference"/>
          <w:i/>
          <w:color w:val="000000" w:themeColor="text1"/>
        </w:rPr>
        <w:footnoteReference w:id="6"/>
      </w:r>
      <w:r>
        <w:rPr>
          <w:color w:val="000000" w:themeColor="text1"/>
        </w:rPr>
        <w:t xml:space="preserve"> which, in turn reflect internationally-accepted GM food safety assessment guidelines.</w:t>
      </w:r>
      <w:r w:rsidRPr="00DA1ABB">
        <w:rPr>
          <w:color w:val="000000" w:themeColor="text1"/>
        </w:rPr>
        <w:t xml:space="preserve"> No public health and safety concerns were identified in this assessment. Based on the available evidence, including detailed studies provided by the </w:t>
      </w:r>
      <w:r>
        <w:rPr>
          <w:color w:val="000000" w:themeColor="text1"/>
        </w:rPr>
        <w:t>Applicant, food derived from DHA canola</w:t>
      </w:r>
      <w:r w:rsidRPr="00DA1ABB">
        <w:rPr>
          <w:color w:val="000000" w:themeColor="text1"/>
        </w:rPr>
        <w:t xml:space="preserve"> is considered as safe and wholesome as food </w:t>
      </w:r>
      <w:r w:rsidRPr="00DA1ABB">
        <w:rPr>
          <w:color w:val="000000" w:themeColor="text1"/>
        </w:rPr>
        <w:lastRenderedPageBreak/>
        <w:t xml:space="preserve">derived from other commercial </w:t>
      </w:r>
      <w:r>
        <w:rPr>
          <w:color w:val="000000" w:themeColor="text1"/>
        </w:rPr>
        <w:t>canola lines</w:t>
      </w:r>
      <w:r w:rsidRPr="00DA1ABB">
        <w:rPr>
          <w:color w:val="000000" w:themeColor="text1"/>
        </w:rPr>
        <w:t>.</w:t>
      </w:r>
    </w:p>
    <w:p w14:paraId="7FEAC1F3" w14:textId="3A22D320" w:rsidR="00022DBC" w:rsidRPr="00914030" w:rsidRDefault="00481AFD"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9"/>
      <w:bookmarkEnd w:id="70"/>
    </w:p>
    <w:p w14:paraId="4790A2AD" w14:textId="68793400" w:rsidR="00E469AA" w:rsidRPr="00DA1ABB" w:rsidRDefault="005E770D" w:rsidP="001E51B6">
      <w:pPr>
        <w:widowControl/>
        <w:rPr>
          <w:b/>
          <w:bCs/>
          <w:color w:val="000000" w:themeColor="text1"/>
        </w:rPr>
      </w:pPr>
      <w:bookmarkStart w:id="71" w:name="_Toc300761900"/>
      <w:bookmarkStart w:id="72" w:name="_Toc300933443"/>
      <w:r>
        <w:rPr>
          <w:color w:val="000000" w:themeColor="text1"/>
        </w:rPr>
        <w:t>Where labelling applies to food d</w:t>
      </w:r>
      <w:r w:rsidR="00E469AA" w:rsidRPr="003D6DDA">
        <w:rPr>
          <w:color w:val="000000" w:themeColor="text1"/>
        </w:rPr>
        <w:t>erived from DHA canola</w:t>
      </w:r>
      <w:r>
        <w:rPr>
          <w:color w:val="000000" w:themeColor="text1"/>
        </w:rPr>
        <w:t xml:space="preserve">, this would enable informed consumer choice </w:t>
      </w:r>
      <w:r w:rsidRPr="003D6DDA">
        <w:rPr>
          <w:color w:val="000000" w:themeColor="text1"/>
        </w:rPr>
        <w:t xml:space="preserve">(see </w:t>
      </w:r>
      <w:r w:rsidR="00405939">
        <w:rPr>
          <w:color w:val="000000" w:themeColor="text1"/>
        </w:rPr>
        <w:t>s</w:t>
      </w:r>
      <w:r>
        <w:rPr>
          <w:color w:val="000000" w:themeColor="text1"/>
        </w:rPr>
        <w:t xml:space="preserve">ection 2.2.1). Consumers can seek information about food intended for immediate consumption, that is prepared and sold from a restaurant or take away outlet, from the caterer. Information relating to foods produced using gene technology is required on labelling for food sold to a caterer. </w:t>
      </w:r>
      <w:r w:rsidR="00E469AA" w:rsidRPr="003D6DDA">
        <w:rPr>
          <w:color w:val="000000" w:themeColor="text1"/>
        </w:rPr>
        <w:t xml:space="preserve"> </w:t>
      </w:r>
    </w:p>
    <w:p w14:paraId="111BC5BE" w14:textId="43D7154D" w:rsidR="00022DBC" w:rsidRPr="00914030" w:rsidRDefault="00481AFD"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1"/>
      <w:bookmarkEnd w:id="72"/>
    </w:p>
    <w:p w14:paraId="254DEE29" w14:textId="49E32F6B" w:rsidR="00D2546D" w:rsidRPr="00DA1ABB" w:rsidRDefault="00D2546D" w:rsidP="001E51B6">
      <w:pPr>
        <w:widowControl/>
        <w:rPr>
          <w:color w:val="000000" w:themeColor="text1"/>
        </w:rPr>
      </w:pPr>
      <w:bookmarkStart w:id="73" w:name="_Toc300761901"/>
      <w:bookmarkStart w:id="74" w:name="_Toc300933444"/>
      <w:r w:rsidRPr="00DA1ABB">
        <w:rPr>
          <w:color w:val="000000" w:themeColor="text1"/>
        </w:rPr>
        <w:t>The provision of detection methodology by the Applicant (</w:t>
      </w:r>
      <w:r w:rsidR="00405939">
        <w:rPr>
          <w:color w:val="000000" w:themeColor="text1"/>
        </w:rPr>
        <w:t>see s</w:t>
      </w:r>
      <w:r w:rsidRPr="00C600C8">
        <w:rPr>
          <w:color w:val="000000" w:themeColor="text1"/>
        </w:rPr>
        <w:t>ection 2.2.2) addresses</w:t>
      </w:r>
      <w:r w:rsidRPr="00DA1ABB">
        <w:rPr>
          <w:color w:val="000000" w:themeColor="text1"/>
        </w:rPr>
        <w:t xml:space="preserve"> this objective.</w:t>
      </w:r>
    </w:p>
    <w:p w14:paraId="026B0BB1" w14:textId="671C4D6A" w:rsidR="00022DBC" w:rsidRPr="00914030" w:rsidRDefault="00481AFD" w:rsidP="00B51E03">
      <w:pPr>
        <w:pStyle w:val="Heading3"/>
      </w:pPr>
      <w:bookmarkStart w:id="75" w:name="_Toc490726040"/>
      <w:r>
        <w:t>2.4</w:t>
      </w:r>
      <w:r w:rsidR="00B51E03">
        <w:t>.3</w:t>
      </w:r>
      <w:r w:rsidR="00022DBC" w:rsidRPr="00914030">
        <w:tab/>
        <w:t xml:space="preserve">Subsection 18(2) </w:t>
      </w:r>
      <w:bookmarkEnd w:id="73"/>
      <w:bookmarkEnd w:id="74"/>
      <w:r w:rsidR="00022DBC" w:rsidRPr="00914030">
        <w:t>considerations</w:t>
      </w:r>
      <w:bookmarkEnd w:id="75"/>
    </w:p>
    <w:p w14:paraId="5FAC2572" w14:textId="77777777" w:rsidR="00022DBC" w:rsidRPr="00914030" w:rsidRDefault="00022DBC" w:rsidP="00022DBC">
      <w:pPr>
        <w:rPr>
          <w:rFonts w:cs="Arial"/>
        </w:rPr>
      </w:pPr>
      <w:r w:rsidRPr="00914030">
        <w:rPr>
          <w:rFonts w:cs="Arial"/>
        </w:rPr>
        <w:t>FSANZ has also had regard to:</w:t>
      </w:r>
    </w:p>
    <w:p w14:paraId="6A255D55" w14:textId="77777777" w:rsidR="00022DBC" w:rsidRPr="00914030" w:rsidRDefault="00022DBC" w:rsidP="00022DBC">
      <w:pPr>
        <w:rPr>
          <w:rFonts w:cs="Arial"/>
        </w:rPr>
      </w:pPr>
    </w:p>
    <w:p w14:paraId="367A6B55"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11747379" w14:textId="77777777" w:rsidR="008828D9" w:rsidRDefault="008828D9" w:rsidP="008828D9">
      <w:pPr>
        <w:rPr>
          <w:lang w:bidi="ar-SA"/>
        </w:rPr>
      </w:pPr>
    </w:p>
    <w:p w14:paraId="053569A0" w14:textId="7CA46FFD" w:rsidR="008828D9" w:rsidRDefault="00D2546D" w:rsidP="008828D9">
      <w:pPr>
        <w:rPr>
          <w:color w:val="000000" w:themeColor="text1"/>
        </w:rPr>
      </w:pPr>
      <w:r w:rsidRPr="00DA1ABB">
        <w:rPr>
          <w:color w:val="000000" w:themeColor="text1"/>
        </w:rPr>
        <w:t xml:space="preserve">FSANZ’s approach to the safety assessment of all GM foods applies concepts and principles outlined in the Codex Principles for the Risk Analysis of Foods derived from Biotechnology </w:t>
      </w:r>
      <w:r w:rsidRPr="00DA1ABB">
        <w:rPr>
          <w:color w:val="000000" w:themeColor="text1"/>
        </w:rPr>
        <w:fldChar w:fldCharType="begin"/>
      </w:r>
      <w:r>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biotechnology&lt;/Title_Primary&gt;&lt;Authors_Primary&gt;Codex&lt;/Authors_Primary&gt;&lt;Date_Primary&gt;2004&lt;/Date_Primary&gt;&lt;Keywords&gt;analysis&lt;/Keywords&gt;&lt;Keywords&gt;Biotechnology&lt;/Keywords&gt;&lt;Keywords&gt;regulation&lt;/Keywords&gt;&lt;Reprint&gt;In File&lt;/Reprint&gt;&lt;Volume&gt;CAC/GL 44-2003&lt;/Volume&gt;&lt;Pub_Place&gt;Rome&lt;/Pub_Place&gt;&lt;Publisher&gt;Codex Alimentarius Commission&lt;/Publisher&gt;&lt;Web_URL&gt;&lt;u&gt;http://www.fao.org/fao-who-codexalimentarius/standards/list-of-standards/en/&lt;/u&gt;&lt;/Web_URL&gt;&lt;Web_URL_Link2&gt;file://Y:\References\GM References_in RefMan&lt;u&gt;\Codex_2004_Principles for the risk analysis of foods derived from modern biotech.pdf&lt;/u&gt;&lt;/Web_URL_Link2&gt;&lt;ZZ_WorkformID&gt;24&lt;/ZZ_WorkformID&gt;&lt;/MDL&gt;&lt;/Cite&gt;&lt;/Refman&gt;</w:instrText>
      </w:r>
      <w:r w:rsidRPr="00DA1ABB">
        <w:rPr>
          <w:color w:val="000000" w:themeColor="text1"/>
        </w:rPr>
        <w:fldChar w:fldCharType="separate"/>
      </w:r>
      <w:r w:rsidRPr="00DA1ABB">
        <w:rPr>
          <w:noProof/>
          <w:color w:val="000000" w:themeColor="text1"/>
        </w:rPr>
        <w:t>(Codex 2004)</w:t>
      </w:r>
      <w:r w:rsidRPr="00DA1ABB">
        <w:rPr>
          <w:color w:val="000000" w:themeColor="text1"/>
        </w:rPr>
        <w:fldChar w:fldCharType="end"/>
      </w:r>
      <w:r w:rsidRPr="00DA1ABB">
        <w:rPr>
          <w:color w:val="000000" w:themeColor="text1"/>
        </w:rPr>
        <w:t xml:space="preserve">. Based on these principles, the </w:t>
      </w:r>
      <w:r>
        <w:rPr>
          <w:color w:val="000000" w:themeColor="text1"/>
        </w:rPr>
        <w:t>risk analysis undertaken for DHA canola</w:t>
      </w:r>
      <w:r w:rsidRPr="00DA1ABB">
        <w:rPr>
          <w:color w:val="000000" w:themeColor="text1"/>
        </w:rPr>
        <w:t xml:space="preserve"> used the best scientific evidence available. The Applicant submitted to FSANZ a comprehensive dossier of quality-assured raw experimental data. In addition to the information supplied by the Applicant, other available resource material including published scientific literature and general technical information was used in the safety assessment.</w:t>
      </w:r>
    </w:p>
    <w:p w14:paraId="2893C5D2" w14:textId="77777777" w:rsidR="00D2546D" w:rsidRPr="00D2546D" w:rsidRDefault="00D2546D" w:rsidP="008828D9">
      <w:pPr>
        <w:rPr>
          <w:color w:val="000000" w:themeColor="text1"/>
        </w:rPr>
      </w:pPr>
    </w:p>
    <w:p w14:paraId="6D21E21C" w14:textId="77777777" w:rsidR="00022DBC" w:rsidRPr="008828D9" w:rsidRDefault="00022DBC" w:rsidP="00022DBC">
      <w:pPr>
        <w:pStyle w:val="FSBullet1"/>
        <w:rPr>
          <w:b/>
        </w:rPr>
      </w:pPr>
      <w:r w:rsidRPr="008828D9">
        <w:rPr>
          <w:b/>
        </w:rPr>
        <w:t>the promotion of consistency between domestic and international food standards</w:t>
      </w:r>
    </w:p>
    <w:p w14:paraId="47EC34D9" w14:textId="77777777" w:rsidR="008828D9" w:rsidRDefault="008828D9" w:rsidP="008828D9">
      <w:pPr>
        <w:rPr>
          <w:lang w:bidi="ar-SA"/>
        </w:rPr>
      </w:pPr>
    </w:p>
    <w:p w14:paraId="5C046273" w14:textId="544F5224" w:rsidR="008828D9" w:rsidRDefault="00D2546D" w:rsidP="008828D9">
      <w:pPr>
        <w:rPr>
          <w:color w:val="000000" w:themeColor="text1"/>
        </w:rPr>
      </w:pPr>
      <w:r w:rsidRPr="00DA1ABB">
        <w:rPr>
          <w:color w:val="000000" w:themeColor="text1"/>
        </w:rPr>
        <w:t>This is not a consideration as there are no relevant international standards.</w:t>
      </w:r>
    </w:p>
    <w:p w14:paraId="1EE1B7A7" w14:textId="77777777" w:rsidR="00D2546D" w:rsidRPr="008828D9" w:rsidRDefault="00D2546D" w:rsidP="008828D9">
      <w:pPr>
        <w:rPr>
          <w:lang w:bidi="ar-SA"/>
        </w:rPr>
      </w:pPr>
    </w:p>
    <w:p w14:paraId="2F41C3B3" w14:textId="77777777" w:rsidR="00022DBC" w:rsidRPr="008828D9" w:rsidRDefault="00022DBC" w:rsidP="00022DBC">
      <w:pPr>
        <w:pStyle w:val="FSBullet1"/>
        <w:rPr>
          <w:b/>
        </w:rPr>
      </w:pPr>
      <w:r w:rsidRPr="008828D9">
        <w:rPr>
          <w:b/>
        </w:rPr>
        <w:t>the desirability of an efficient and internationally competitive food industry</w:t>
      </w:r>
    </w:p>
    <w:p w14:paraId="08FD6F6A" w14:textId="77777777" w:rsidR="008828D9" w:rsidRDefault="008828D9" w:rsidP="008828D9">
      <w:pPr>
        <w:rPr>
          <w:lang w:bidi="ar-SA"/>
        </w:rPr>
      </w:pPr>
    </w:p>
    <w:p w14:paraId="04E112BD" w14:textId="284D9D27" w:rsidR="00D2546D" w:rsidRDefault="00D2546D" w:rsidP="00D2546D">
      <w:pPr>
        <w:rPr>
          <w:color w:val="000000" w:themeColor="text1"/>
        </w:rPr>
      </w:pPr>
      <w:r w:rsidRPr="00DA1ABB">
        <w:rPr>
          <w:color w:val="000000" w:themeColor="text1"/>
        </w:rPr>
        <w:t>The inclusion of GM foods in the food supply, providing there are no safety concerns, allows for innovation by developers</w:t>
      </w:r>
      <w:r>
        <w:rPr>
          <w:color w:val="000000" w:themeColor="text1"/>
        </w:rPr>
        <w:t>,</w:t>
      </w:r>
      <w:r w:rsidRPr="00DA1ABB">
        <w:rPr>
          <w:color w:val="000000" w:themeColor="text1"/>
        </w:rPr>
        <w:t xml:space="preserve"> and a widening of the technological base </w:t>
      </w:r>
      <w:r>
        <w:rPr>
          <w:color w:val="000000" w:themeColor="text1"/>
        </w:rPr>
        <w:t xml:space="preserve">for </w:t>
      </w:r>
      <w:r w:rsidR="00752037">
        <w:rPr>
          <w:color w:val="000000" w:themeColor="text1"/>
        </w:rPr>
        <w:t xml:space="preserve">producing </w:t>
      </w:r>
      <w:r>
        <w:rPr>
          <w:color w:val="000000" w:themeColor="text1"/>
        </w:rPr>
        <w:t>foods. DHA canola</w:t>
      </w:r>
      <w:r w:rsidRPr="00DA1ABB">
        <w:rPr>
          <w:color w:val="000000" w:themeColor="text1"/>
        </w:rPr>
        <w:t xml:space="preserve"> is a new food crop designed to</w:t>
      </w:r>
      <w:r>
        <w:rPr>
          <w:color w:val="000000" w:themeColor="text1"/>
        </w:rPr>
        <w:t xml:space="preserve"> provide an alternative source o</w:t>
      </w:r>
      <w:r w:rsidR="00261166">
        <w:rPr>
          <w:color w:val="000000" w:themeColor="text1"/>
        </w:rPr>
        <w:t>f n-3 LC PUFAs</w:t>
      </w:r>
      <w:r>
        <w:rPr>
          <w:color w:val="000000" w:themeColor="text1"/>
        </w:rPr>
        <w:t xml:space="preserve"> for human consumption and</w:t>
      </w:r>
      <w:r w:rsidR="003A417D">
        <w:rPr>
          <w:color w:val="000000" w:themeColor="text1"/>
        </w:rPr>
        <w:t xml:space="preserve"> increased</w:t>
      </w:r>
      <w:r>
        <w:rPr>
          <w:color w:val="000000" w:themeColor="text1"/>
        </w:rPr>
        <w:t xml:space="preserve"> </w:t>
      </w:r>
      <w:r w:rsidR="00752037">
        <w:rPr>
          <w:color w:val="000000" w:themeColor="text1"/>
        </w:rPr>
        <w:t>d</w:t>
      </w:r>
      <w:r>
        <w:rPr>
          <w:color w:val="000000" w:themeColor="text1"/>
        </w:rPr>
        <w:t>emand from aquaculture.</w:t>
      </w:r>
    </w:p>
    <w:p w14:paraId="4ACBF957" w14:textId="515AA140" w:rsidR="007A69D8" w:rsidRDefault="007A69D8">
      <w:pPr>
        <w:widowControl/>
        <w:rPr>
          <w:rFonts w:cs="Arial"/>
          <w:b/>
          <w:lang w:bidi="ar-SA"/>
        </w:rPr>
      </w:pPr>
    </w:p>
    <w:p w14:paraId="25BEB795" w14:textId="4FDF7658" w:rsidR="00022DBC" w:rsidRPr="008828D9" w:rsidRDefault="00022DBC" w:rsidP="00022DBC">
      <w:pPr>
        <w:pStyle w:val="FSBullet1"/>
        <w:rPr>
          <w:b/>
        </w:rPr>
      </w:pPr>
      <w:r w:rsidRPr="008828D9">
        <w:rPr>
          <w:b/>
        </w:rPr>
        <w:t>the promotion of fair trading in food</w:t>
      </w:r>
    </w:p>
    <w:p w14:paraId="20959D35" w14:textId="77777777" w:rsidR="008828D9" w:rsidRDefault="008828D9" w:rsidP="008828D9">
      <w:pPr>
        <w:rPr>
          <w:lang w:bidi="ar-SA"/>
        </w:rPr>
      </w:pPr>
    </w:p>
    <w:p w14:paraId="54000A68" w14:textId="77777777" w:rsidR="00261166" w:rsidRDefault="00261166" w:rsidP="00261166">
      <w:pPr>
        <w:keepNext/>
        <w:widowControl/>
        <w:rPr>
          <w:color w:val="000000" w:themeColor="text1"/>
        </w:rPr>
      </w:pPr>
      <w:r>
        <w:rPr>
          <w:color w:val="000000" w:themeColor="text1"/>
        </w:rPr>
        <w:t xml:space="preserve">Issues related to consumer information and </w:t>
      </w:r>
      <w:proofErr w:type="gramStart"/>
      <w:r>
        <w:rPr>
          <w:color w:val="000000" w:themeColor="text1"/>
        </w:rPr>
        <w:t>safety are</w:t>
      </w:r>
      <w:proofErr w:type="gramEnd"/>
      <w:r>
        <w:rPr>
          <w:color w:val="000000" w:themeColor="text1"/>
        </w:rPr>
        <w:t xml:space="preserve"> considered in sections 2.2 and 2.3 above.</w:t>
      </w:r>
    </w:p>
    <w:p w14:paraId="3B140DFB" w14:textId="76165057" w:rsidR="0025065D" w:rsidRDefault="0025065D">
      <w:pPr>
        <w:widowControl/>
        <w:rPr>
          <w:rFonts w:cs="Arial"/>
          <w:b/>
          <w:color w:val="000000" w:themeColor="text1"/>
          <w:lang w:bidi="ar-SA"/>
        </w:rPr>
      </w:pPr>
    </w:p>
    <w:p w14:paraId="43B6189C" w14:textId="2FE68F4B" w:rsidR="00022DBC" w:rsidRPr="00717608" w:rsidRDefault="00022DBC" w:rsidP="00022DBC">
      <w:pPr>
        <w:pStyle w:val="FSBullet1"/>
        <w:rPr>
          <w:color w:val="000000" w:themeColor="text1"/>
        </w:rPr>
      </w:pPr>
      <w:r w:rsidRPr="00717608">
        <w:rPr>
          <w:b/>
          <w:color w:val="000000" w:themeColor="text1"/>
        </w:rPr>
        <w:t xml:space="preserve">any written policy guidelines formulated by the </w:t>
      </w:r>
      <w:r w:rsidR="006E527D" w:rsidRPr="00717608">
        <w:rPr>
          <w:b/>
          <w:color w:val="000000" w:themeColor="text1"/>
        </w:rPr>
        <w:t>Forum on Food Regulation</w:t>
      </w:r>
    </w:p>
    <w:p w14:paraId="3BDAF43C" w14:textId="77777777" w:rsidR="00022DBC" w:rsidRPr="00717608" w:rsidRDefault="00022DBC" w:rsidP="00022DBC">
      <w:pPr>
        <w:rPr>
          <w:color w:val="000000" w:themeColor="text1"/>
          <w:lang w:bidi="ar-SA"/>
        </w:rPr>
      </w:pPr>
    </w:p>
    <w:p w14:paraId="7ABEA418" w14:textId="081D0129" w:rsidR="00D2546D" w:rsidRDefault="00DE53AE" w:rsidP="00CD06FA">
      <w:pPr>
        <w:widowControl/>
      </w:pPr>
      <w:r>
        <w:rPr>
          <w:color w:val="000000" w:themeColor="text1"/>
        </w:rPr>
        <w:t xml:space="preserve">FSANZ notes the </w:t>
      </w:r>
      <w:r w:rsidR="009973BA">
        <w:t>Policy Guideline on the Regulation of Infant Formula Products</w:t>
      </w:r>
      <w:r>
        <w:t xml:space="preserve"> guides FSANZ to undertake a premarket assessment of any substance proposed to be used in infant formula products. Since no evidence was available for assessment </w:t>
      </w:r>
      <w:r w:rsidR="00CD06FA">
        <w:t xml:space="preserve">of DHA canola oil </w:t>
      </w:r>
      <w:r>
        <w:t xml:space="preserve">in relation to infants, </w:t>
      </w:r>
      <w:r w:rsidR="00CD06FA">
        <w:t xml:space="preserve">it is proposed not to permit foods derived from </w:t>
      </w:r>
      <w:r w:rsidR="00E741DE">
        <w:t>D</w:t>
      </w:r>
      <w:r w:rsidR="00CD06FA">
        <w:t>HA canola in infant formula products.</w:t>
      </w:r>
    </w:p>
    <w:p w14:paraId="68CC677B" w14:textId="77777777" w:rsidR="00CD06FA" w:rsidRPr="00717608" w:rsidRDefault="00CD06FA" w:rsidP="00CD06FA">
      <w:pPr>
        <w:widowControl/>
        <w:rPr>
          <w:color w:val="000000" w:themeColor="text1"/>
        </w:rPr>
      </w:pPr>
    </w:p>
    <w:p w14:paraId="60BE84D2" w14:textId="4D6828A6" w:rsidR="005F7342" w:rsidRPr="00717608" w:rsidRDefault="00867B23" w:rsidP="00E203C2">
      <w:pPr>
        <w:pStyle w:val="Heading1"/>
        <w:rPr>
          <w:color w:val="000000" w:themeColor="text1"/>
        </w:rPr>
      </w:pPr>
      <w:bookmarkStart w:id="76" w:name="_Toc286391014"/>
      <w:bookmarkStart w:id="77" w:name="_Toc175381455"/>
      <w:bookmarkStart w:id="78" w:name="_Toc300933445"/>
      <w:bookmarkStart w:id="79" w:name="_Toc490726041"/>
      <w:bookmarkEnd w:id="25"/>
      <w:bookmarkEnd w:id="26"/>
      <w:bookmarkEnd w:id="27"/>
      <w:bookmarkEnd w:id="28"/>
      <w:bookmarkEnd w:id="29"/>
      <w:bookmarkEnd w:id="30"/>
      <w:bookmarkEnd w:id="45"/>
      <w:r w:rsidRPr="00717608">
        <w:rPr>
          <w:color w:val="000000" w:themeColor="text1"/>
        </w:rPr>
        <w:lastRenderedPageBreak/>
        <w:t>3</w:t>
      </w:r>
      <w:r w:rsidR="00F604DE" w:rsidRPr="00717608">
        <w:rPr>
          <w:color w:val="000000" w:themeColor="text1"/>
        </w:rPr>
        <w:tab/>
      </w:r>
      <w:bookmarkEnd w:id="76"/>
      <w:bookmarkEnd w:id="77"/>
      <w:bookmarkEnd w:id="78"/>
      <w:r w:rsidR="00D14405" w:rsidRPr="00717608">
        <w:rPr>
          <w:color w:val="000000" w:themeColor="text1"/>
        </w:rPr>
        <w:t>Draft variation</w:t>
      </w:r>
      <w:bookmarkEnd w:id="79"/>
    </w:p>
    <w:p w14:paraId="07FA5A23" w14:textId="6808B2C8" w:rsidR="00D209C9" w:rsidRPr="00717608" w:rsidRDefault="00D209C9" w:rsidP="00D209C9">
      <w:pPr>
        <w:rPr>
          <w:color w:val="000000" w:themeColor="text1"/>
        </w:rPr>
      </w:pPr>
      <w:r w:rsidRPr="00717608">
        <w:rPr>
          <w:color w:val="000000" w:themeColor="text1"/>
        </w:rPr>
        <w:t xml:space="preserve">The draft variation to the Code is at Attachment A and is intended to take effect on </w:t>
      </w:r>
      <w:r w:rsidR="00261166">
        <w:rPr>
          <w:color w:val="000000" w:themeColor="text1"/>
        </w:rPr>
        <w:t xml:space="preserve">the date of </w:t>
      </w:r>
      <w:r w:rsidR="00717608" w:rsidRPr="00717608">
        <w:rPr>
          <w:color w:val="000000" w:themeColor="text1"/>
        </w:rPr>
        <w:t>gazettal.</w:t>
      </w:r>
    </w:p>
    <w:p w14:paraId="2A60AF22" w14:textId="77777777" w:rsidR="00D209C9" w:rsidRPr="00717608" w:rsidRDefault="00D209C9" w:rsidP="00D209C9">
      <w:pPr>
        <w:rPr>
          <w:color w:val="000000" w:themeColor="text1"/>
        </w:rPr>
      </w:pPr>
    </w:p>
    <w:p w14:paraId="5A2B6A97" w14:textId="77777777" w:rsidR="00A12B44" w:rsidRPr="00717608" w:rsidRDefault="002C4A91" w:rsidP="00A12B44">
      <w:pPr>
        <w:rPr>
          <w:color w:val="000000" w:themeColor="text1"/>
          <w:u w:val="single"/>
        </w:rPr>
      </w:pPr>
      <w:r w:rsidRPr="00717608">
        <w:rPr>
          <w:color w:val="000000" w:themeColor="text1"/>
        </w:rPr>
        <w:t>A</w:t>
      </w:r>
      <w:r w:rsidR="005358B0" w:rsidRPr="00717608">
        <w:rPr>
          <w:color w:val="000000" w:themeColor="text1"/>
        </w:rPr>
        <w:t xml:space="preserve"> draft explanatory statement </w:t>
      </w:r>
      <w:r w:rsidRPr="00717608">
        <w:rPr>
          <w:color w:val="000000" w:themeColor="text1"/>
        </w:rPr>
        <w:t>is</w:t>
      </w:r>
      <w:r w:rsidR="005358B0" w:rsidRPr="00717608">
        <w:rPr>
          <w:color w:val="000000" w:themeColor="text1"/>
        </w:rPr>
        <w:t xml:space="preserve"> at Attachment B. </w:t>
      </w:r>
      <w:r w:rsidR="00D26814" w:rsidRPr="00717608">
        <w:rPr>
          <w:color w:val="000000" w:themeColor="text1"/>
        </w:rPr>
        <w:t>An explanatory statement is required to accompany an instrument if it is lodged on the Federal Register of Legislati</w:t>
      </w:r>
      <w:r w:rsidR="004D6BBF" w:rsidRPr="00717608">
        <w:rPr>
          <w:color w:val="000000" w:themeColor="text1"/>
        </w:rPr>
        <w:t>on</w:t>
      </w:r>
      <w:r w:rsidR="00D26814" w:rsidRPr="00717608">
        <w:rPr>
          <w:color w:val="000000" w:themeColor="text1"/>
        </w:rPr>
        <w:t xml:space="preserve">. </w:t>
      </w:r>
    </w:p>
    <w:p w14:paraId="085F6DBA" w14:textId="77777777" w:rsidR="00D26814" w:rsidRPr="00580B79" w:rsidRDefault="00D26814" w:rsidP="002432EE">
      <w:pPr>
        <w:rPr>
          <w:rFonts w:cs="Arial"/>
          <w:color w:val="000000" w:themeColor="text1"/>
        </w:rPr>
      </w:pPr>
      <w:bookmarkStart w:id="80" w:name="_Toc11735643"/>
      <w:bookmarkStart w:id="81" w:name="_Toc29883130"/>
      <w:bookmarkStart w:id="82" w:name="_Toc41906817"/>
      <w:bookmarkStart w:id="83" w:name="_Toc41907564"/>
      <w:bookmarkStart w:id="84" w:name="_Toc43112360"/>
    </w:p>
    <w:p w14:paraId="50013603" w14:textId="77777777" w:rsidR="00924C80" w:rsidRPr="00580B79" w:rsidRDefault="00867B23" w:rsidP="00E75054">
      <w:pPr>
        <w:pStyle w:val="Heading1"/>
        <w:rPr>
          <w:color w:val="000000" w:themeColor="text1"/>
        </w:rPr>
      </w:pPr>
      <w:bookmarkStart w:id="85" w:name="_Toc300933452"/>
      <w:bookmarkStart w:id="86" w:name="_Toc490726042"/>
      <w:r w:rsidRPr="00580B79">
        <w:rPr>
          <w:color w:val="000000" w:themeColor="text1"/>
        </w:rPr>
        <w:t>4</w:t>
      </w:r>
      <w:r w:rsidR="00924C80" w:rsidRPr="00580B79">
        <w:rPr>
          <w:color w:val="000000" w:themeColor="text1"/>
        </w:rPr>
        <w:tab/>
        <w:t>R</w:t>
      </w:r>
      <w:bookmarkEnd w:id="85"/>
      <w:r w:rsidR="006C28E2" w:rsidRPr="00580B79">
        <w:rPr>
          <w:color w:val="000000" w:themeColor="text1"/>
        </w:rPr>
        <w:t>eferences</w:t>
      </w:r>
      <w:bookmarkEnd w:id="86"/>
    </w:p>
    <w:p w14:paraId="053A4270" w14:textId="77777777" w:rsidR="00580B79" w:rsidRPr="00261166" w:rsidRDefault="00580B79" w:rsidP="00580B79">
      <w:pPr>
        <w:ind w:left="284" w:hanging="284"/>
        <w:rPr>
          <w:rFonts w:cs="Arial"/>
          <w:noProof/>
          <w:sz w:val="20"/>
          <w:szCs w:val="20"/>
        </w:rPr>
      </w:pPr>
      <w:r w:rsidRPr="00261166">
        <w:rPr>
          <w:rFonts w:cs="Arial"/>
          <w:noProof/>
          <w:color w:val="000000" w:themeColor="text1"/>
          <w:sz w:val="20"/>
          <w:szCs w:val="20"/>
        </w:rPr>
        <w:t>Codex (2004) Principles for the risk analysis of foods derived from modern biotechnology. CAC/GL 44-2003. Codex Alimentarius Commission, Rome</w:t>
      </w:r>
      <w:r w:rsidRPr="00261166">
        <w:rPr>
          <w:rFonts w:cs="Arial"/>
          <w:noProof/>
          <w:sz w:val="20"/>
          <w:szCs w:val="20"/>
        </w:rPr>
        <w:t xml:space="preserve">. </w:t>
      </w:r>
      <w:hyperlink r:id="rId24" w:history="1">
        <w:r w:rsidRPr="00261166">
          <w:rPr>
            <w:rStyle w:val="Hyperlink"/>
            <w:rFonts w:cs="Arial"/>
            <w:noProof/>
            <w:sz w:val="20"/>
            <w:szCs w:val="20"/>
          </w:rPr>
          <w:t>http://www.fao.org/fao-who-codexalimentarius/standards/list-of-standards/en/</w:t>
        </w:r>
      </w:hyperlink>
    </w:p>
    <w:bookmarkEnd w:id="80"/>
    <w:bookmarkEnd w:id="81"/>
    <w:bookmarkEnd w:id="82"/>
    <w:bookmarkEnd w:id="83"/>
    <w:bookmarkEnd w:id="84"/>
    <w:p w14:paraId="67CE01C0"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652622CD" w14:textId="77777777" w:rsidR="00A4175D" w:rsidRPr="00E203C2" w:rsidRDefault="00A4175D" w:rsidP="00AF06FC"/>
    <w:p w14:paraId="0311FC93" w14:textId="7E5E791D"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64134EAB" w14:textId="77777777" w:rsidR="00AB0275" w:rsidRDefault="00AB0275" w:rsidP="00AB0275">
      <w:pPr>
        <w:ind w:left="567" w:hanging="567"/>
      </w:pPr>
      <w:r w:rsidRPr="00456BD5">
        <w:t>B.</w:t>
      </w:r>
      <w:r w:rsidRPr="00456BD5">
        <w:tab/>
      </w:r>
      <w:r w:rsidR="002C4A91">
        <w:t xml:space="preserve">Draft </w:t>
      </w:r>
      <w:r>
        <w:t xml:space="preserve">Explanatory Statement </w:t>
      </w:r>
    </w:p>
    <w:p w14:paraId="53BDE9F6" w14:textId="77777777" w:rsidR="00D60568" w:rsidRPr="00E203C2" w:rsidRDefault="00D60568" w:rsidP="002432EE"/>
    <w:p w14:paraId="3D2E5B86" w14:textId="0AD15BF3" w:rsidR="0062163E" w:rsidRPr="0062163E" w:rsidRDefault="00AB0275" w:rsidP="0062163E">
      <w:pPr>
        <w:pStyle w:val="Heading2"/>
        <w:ind w:left="0" w:firstLine="0"/>
      </w:pPr>
      <w:bookmarkStart w:id="87" w:name="_Toc300933454"/>
      <w:r w:rsidRPr="00932F14">
        <w:br w:type="page"/>
      </w:r>
      <w:bookmarkStart w:id="88" w:name="_Toc29883131"/>
      <w:bookmarkStart w:id="89" w:name="_Toc41906818"/>
      <w:bookmarkStart w:id="90" w:name="_Toc41907565"/>
      <w:bookmarkStart w:id="91" w:name="_Toc120358596"/>
      <w:bookmarkStart w:id="92" w:name="_Toc175381458"/>
      <w:bookmarkStart w:id="93" w:name="_Toc11735644"/>
      <w:bookmarkStart w:id="94" w:name="_Toc415572037"/>
      <w:bookmarkStart w:id="95" w:name="_Toc490726043"/>
      <w:r w:rsidRPr="00932F14">
        <w:lastRenderedPageBreak/>
        <w:t xml:space="preserve">Attachment </w:t>
      </w:r>
      <w:bookmarkEnd w:id="88"/>
      <w:bookmarkEnd w:id="89"/>
      <w:bookmarkEnd w:id="90"/>
      <w:bookmarkEnd w:id="91"/>
      <w:bookmarkEnd w:id="92"/>
      <w:r>
        <w:t>A</w:t>
      </w:r>
      <w:bookmarkStart w:id="96" w:name="_Toc120358597"/>
      <w:bookmarkStart w:id="97" w:name="_Toc175381459"/>
      <w:bookmarkEnd w:id="93"/>
      <w:r>
        <w:t xml:space="preserve"> –</w:t>
      </w:r>
      <w:r w:rsidR="00CA3C65">
        <w:t xml:space="preserve"> </w:t>
      </w:r>
      <w:bookmarkStart w:id="98" w:name="_Toc415572039"/>
      <w:bookmarkEnd w:id="87"/>
      <w:bookmarkEnd w:id="94"/>
      <w:bookmarkEnd w:id="96"/>
      <w:bookmarkEnd w:id="97"/>
      <w:r w:rsidR="00CA3C65">
        <w:t>D</w:t>
      </w:r>
      <w:r>
        <w:t xml:space="preserve">raft </w:t>
      </w:r>
      <w:r w:rsidRPr="00932F14">
        <w:t>variation to the</w:t>
      </w:r>
      <w:r w:rsidRPr="00755F02">
        <w:t xml:space="preserve"> </w:t>
      </w:r>
      <w:r w:rsidRPr="00795D86">
        <w:rPr>
          <w:i/>
        </w:rPr>
        <w:t>Australia New Zealand Food Standards Code</w:t>
      </w:r>
      <w:bookmarkEnd w:id="95"/>
      <w:r>
        <w:rPr>
          <w:i/>
        </w:rPr>
        <w:t xml:space="preserve"> </w:t>
      </w:r>
      <w:bookmarkStart w:id="99" w:name="_Toc438026191"/>
      <w:bookmarkStart w:id="100" w:name="_Toc454376577"/>
      <w:bookmarkStart w:id="101" w:name="_Toc463450505"/>
      <w:bookmarkEnd w:id="98"/>
      <w:bookmarkEnd w:id="99"/>
      <w:bookmarkEnd w:id="100"/>
      <w:bookmarkEnd w:id="101"/>
    </w:p>
    <w:p w14:paraId="3679F0A2" w14:textId="77777777" w:rsidR="0062163E" w:rsidRPr="00DA1ABB" w:rsidRDefault="0062163E" w:rsidP="0062163E">
      <w:pPr>
        <w:rPr>
          <w:noProof/>
          <w:color w:val="000000" w:themeColor="text1"/>
          <w:sz w:val="20"/>
          <w:lang w:val="en-AU" w:eastAsia="en-AU"/>
        </w:rPr>
      </w:pPr>
      <w:r w:rsidRPr="00DA1ABB">
        <w:rPr>
          <w:noProof/>
          <w:color w:val="000000" w:themeColor="text1"/>
          <w:sz w:val="20"/>
          <w:lang w:eastAsia="en-GB" w:bidi="ar-SA"/>
        </w:rPr>
        <w:drawing>
          <wp:inline distT="0" distB="0" distL="0" distR="0" wp14:anchorId="07F07E76" wp14:editId="303038FA">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F113F3B" w14:textId="77777777" w:rsidR="0062163E" w:rsidRPr="00DA1ABB" w:rsidRDefault="0062163E" w:rsidP="0062163E">
      <w:pPr>
        <w:widowControl/>
        <w:pBdr>
          <w:bottom w:val="single" w:sz="4" w:space="1" w:color="auto"/>
        </w:pBdr>
        <w:jc w:val="center"/>
        <w:rPr>
          <w:rFonts w:eastAsiaTheme="minorHAnsi" w:cstheme="minorBidi"/>
          <w:color w:val="000000" w:themeColor="text1"/>
          <w:sz w:val="20"/>
          <w:lang w:eastAsia="en-GB"/>
        </w:rPr>
      </w:pPr>
    </w:p>
    <w:p w14:paraId="53B3A61B" w14:textId="2B467A99" w:rsidR="0062163E" w:rsidRPr="00DA1ABB" w:rsidRDefault="0062163E" w:rsidP="0062163E">
      <w:pPr>
        <w:pBdr>
          <w:bottom w:val="single" w:sz="4" w:space="1" w:color="auto"/>
        </w:pBdr>
        <w:rPr>
          <w:b/>
          <w:color w:val="000000" w:themeColor="text1"/>
          <w:sz w:val="20"/>
        </w:rPr>
      </w:pPr>
      <w:r w:rsidRPr="00DA1ABB">
        <w:rPr>
          <w:rFonts w:cs="Arial"/>
          <w:b/>
          <w:color w:val="000000" w:themeColor="text1"/>
          <w:sz w:val="20"/>
        </w:rPr>
        <w:t xml:space="preserve">Food Standards (Application </w:t>
      </w:r>
      <w:r>
        <w:rPr>
          <w:b/>
          <w:color w:val="000000" w:themeColor="text1"/>
          <w:sz w:val="20"/>
        </w:rPr>
        <w:t>A1143</w:t>
      </w:r>
      <w:r w:rsidRPr="00DA1ABB">
        <w:rPr>
          <w:b/>
          <w:color w:val="000000" w:themeColor="text1"/>
          <w:sz w:val="20"/>
        </w:rPr>
        <w:t xml:space="preserve"> –</w:t>
      </w:r>
      <w:r w:rsidRPr="00DA1ABB">
        <w:rPr>
          <w:color w:val="000000" w:themeColor="text1"/>
        </w:rPr>
        <w:t xml:space="preserve"> </w:t>
      </w:r>
      <w:r>
        <w:rPr>
          <w:b/>
          <w:bCs/>
          <w:color w:val="000000" w:themeColor="text1"/>
          <w:sz w:val="20"/>
        </w:rPr>
        <w:t xml:space="preserve">Food derived </w:t>
      </w:r>
      <w:r w:rsidR="00261166">
        <w:rPr>
          <w:b/>
          <w:bCs/>
          <w:color w:val="000000" w:themeColor="text1"/>
          <w:sz w:val="20"/>
        </w:rPr>
        <w:t>from DH</w:t>
      </w:r>
      <w:r>
        <w:rPr>
          <w:b/>
          <w:bCs/>
          <w:color w:val="000000" w:themeColor="text1"/>
          <w:sz w:val="20"/>
        </w:rPr>
        <w:t>A Canola Line NS-B50027-4</w:t>
      </w:r>
      <w:r w:rsidRPr="00DA1ABB">
        <w:rPr>
          <w:rFonts w:cs="Arial"/>
          <w:b/>
          <w:color w:val="000000" w:themeColor="text1"/>
          <w:sz w:val="20"/>
        </w:rPr>
        <w:t>)</w:t>
      </w:r>
      <w:r w:rsidRPr="00DA1ABB">
        <w:rPr>
          <w:b/>
          <w:color w:val="000000" w:themeColor="text1"/>
          <w:sz w:val="20"/>
        </w:rPr>
        <w:t xml:space="preserve"> Variation</w:t>
      </w:r>
    </w:p>
    <w:p w14:paraId="2DF83466" w14:textId="77777777" w:rsidR="0062163E" w:rsidRPr="00DA1ABB" w:rsidRDefault="0062163E" w:rsidP="0062163E">
      <w:pPr>
        <w:pBdr>
          <w:bottom w:val="single" w:sz="4" w:space="1" w:color="auto"/>
        </w:pBdr>
        <w:rPr>
          <w:b/>
          <w:color w:val="000000" w:themeColor="text1"/>
          <w:sz w:val="20"/>
        </w:rPr>
      </w:pPr>
    </w:p>
    <w:p w14:paraId="25FEF7AF" w14:textId="77777777" w:rsidR="0062163E" w:rsidRPr="00DA1ABB" w:rsidRDefault="0062163E" w:rsidP="0062163E">
      <w:pPr>
        <w:rPr>
          <w:color w:val="000000" w:themeColor="text1"/>
          <w:sz w:val="20"/>
        </w:rPr>
      </w:pPr>
    </w:p>
    <w:p w14:paraId="4170CB1E" w14:textId="77777777" w:rsidR="0062163E" w:rsidRPr="00DA1ABB" w:rsidRDefault="0062163E" w:rsidP="0062163E">
      <w:pPr>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1F2D0FDF" w14:textId="77777777" w:rsidR="0062163E" w:rsidRPr="00DA1ABB" w:rsidRDefault="0062163E" w:rsidP="0062163E">
      <w:pPr>
        <w:rPr>
          <w:color w:val="000000" w:themeColor="text1"/>
          <w:sz w:val="20"/>
        </w:rPr>
      </w:pPr>
    </w:p>
    <w:p w14:paraId="1EC6ACEA" w14:textId="77777777" w:rsidR="0062163E" w:rsidRPr="00DA1ABB" w:rsidRDefault="0062163E" w:rsidP="0062163E">
      <w:pPr>
        <w:rPr>
          <w:color w:val="000000" w:themeColor="text1"/>
          <w:sz w:val="20"/>
        </w:rPr>
      </w:pPr>
      <w:r w:rsidRPr="00DA1ABB">
        <w:rPr>
          <w:color w:val="000000" w:themeColor="text1"/>
          <w:sz w:val="20"/>
        </w:rPr>
        <w:t>Dated [To be completed by Standards Management Officer]</w:t>
      </w:r>
    </w:p>
    <w:p w14:paraId="46E44AC0" w14:textId="77777777" w:rsidR="0062163E" w:rsidRPr="00DA1ABB" w:rsidRDefault="0062163E" w:rsidP="0062163E">
      <w:pPr>
        <w:rPr>
          <w:color w:val="000000" w:themeColor="text1"/>
          <w:sz w:val="20"/>
        </w:rPr>
      </w:pPr>
    </w:p>
    <w:p w14:paraId="3F147500" w14:textId="77777777" w:rsidR="0062163E" w:rsidRPr="00DA1ABB" w:rsidRDefault="0062163E" w:rsidP="0062163E">
      <w:pPr>
        <w:rPr>
          <w:color w:val="000000" w:themeColor="text1"/>
          <w:sz w:val="20"/>
        </w:rPr>
      </w:pPr>
    </w:p>
    <w:p w14:paraId="0ED96542" w14:textId="77777777" w:rsidR="0062163E" w:rsidRPr="00DA1ABB" w:rsidRDefault="0062163E" w:rsidP="0062163E">
      <w:pPr>
        <w:rPr>
          <w:color w:val="000000" w:themeColor="text1"/>
          <w:sz w:val="20"/>
        </w:rPr>
      </w:pPr>
    </w:p>
    <w:p w14:paraId="450E49CD" w14:textId="77777777" w:rsidR="0062163E" w:rsidRPr="00DA1ABB" w:rsidRDefault="0062163E" w:rsidP="0062163E">
      <w:pPr>
        <w:rPr>
          <w:color w:val="000000" w:themeColor="text1"/>
          <w:sz w:val="20"/>
        </w:rPr>
      </w:pPr>
    </w:p>
    <w:p w14:paraId="5032197C" w14:textId="77777777" w:rsidR="0062163E" w:rsidRPr="00DA1ABB" w:rsidRDefault="0062163E" w:rsidP="0062163E">
      <w:pPr>
        <w:rPr>
          <w:color w:val="000000" w:themeColor="text1"/>
          <w:sz w:val="20"/>
        </w:rPr>
      </w:pPr>
    </w:p>
    <w:p w14:paraId="2D0885FC" w14:textId="77777777" w:rsidR="0062163E" w:rsidRPr="00DA1ABB" w:rsidRDefault="0062163E" w:rsidP="0062163E">
      <w:pPr>
        <w:rPr>
          <w:color w:val="000000" w:themeColor="text1"/>
          <w:sz w:val="20"/>
        </w:rPr>
      </w:pPr>
      <w:r w:rsidRPr="00DA1ABB">
        <w:rPr>
          <w:color w:val="000000" w:themeColor="text1"/>
          <w:sz w:val="20"/>
        </w:rPr>
        <w:t>Standards Management Officer</w:t>
      </w:r>
    </w:p>
    <w:p w14:paraId="3B08E984" w14:textId="77777777" w:rsidR="0062163E" w:rsidRPr="00DA1ABB" w:rsidRDefault="0062163E" w:rsidP="0062163E">
      <w:pPr>
        <w:rPr>
          <w:color w:val="000000" w:themeColor="text1"/>
          <w:sz w:val="20"/>
        </w:rPr>
      </w:pPr>
      <w:r w:rsidRPr="00DA1ABB">
        <w:rPr>
          <w:color w:val="000000" w:themeColor="text1"/>
          <w:sz w:val="20"/>
        </w:rPr>
        <w:t>Delegate of the Board of Food Standards Australia New Zealand</w:t>
      </w:r>
    </w:p>
    <w:p w14:paraId="5FF3460B" w14:textId="77777777" w:rsidR="0062163E" w:rsidRPr="00DA1ABB" w:rsidRDefault="0062163E" w:rsidP="0062163E">
      <w:pPr>
        <w:rPr>
          <w:color w:val="000000" w:themeColor="text1"/>
          <w:sz w:val="20"/>
        </w:rPr>
      </w:pPr>
    </w:p>
    <w:p w14:paraId="12D2ECB7" w14:textId="77777777" w:rsidR="0062163E" w:rsidRPr="00296F74" w:rsidRDefault="0062163E" w:rsidP="0062163E">
      <w:pPr>
        <w:rPr>
          <w:sz w:val="20"/>
        </w:rPr>
      </w:pPr>
    </w:p>
    <w:p w14:paraId="40CFDE5B" w14:textId="77777777" w:rsidR="0062163E" w:rsidRPr="00296F74" w:rsidRDefault="0062163E" w:rsidP="0062163E">
      <w:pPr>
        <w:rPr>
          <w:sz w:val="20"/>
        </w:rPr>
      </w:pPr>
    </w:p>
    <w:p w14:paraId="0192138B" w14:textId="77777777" w:rsidR="0062163E" w:rsidRPr="00296F74" w:rsidRDefault="0062163E" w:rsidP="0062163E">
      <w:pPr>
        <w:rPr>
          <w:sz w:val="20"/>
        </w:rPr>
      </w:pPr>
    </w:p>
    <w:p w14:paraId="5C045DBD" w14:textId="77777777" w:rsidR="0062163E" w:rsidRPr="00296F74" w:rsidRDefault="0062163E" w:rsidP="0062163E">
      <w:pPr>
        <w:rPr>
          <w:sz w:val="20"/>
        </w:rPr>
      </w:pPr>
    </w:p>
    <w:p w14:paraId="2E8CF5E0" w14:textId="77777777" w:rsidR="0062163E" w:rsidRPr="00296F74" w:rsidRDefault="0062163E" w:rsidP="0062163E">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70C16BFD" w14:textId="77777777" w:rsidR="0062163E" w:rsidRPr="00296F74" w:rsidRDefault="0062163E" w:rsidP="0062163E">
      <w:pPr>
        <w:pBdr>
          <w:top w:val="single" w:sz="6" w:space="0" w:color="auto"/>
          <w:left w:val="single" w:sz="6" w:space="0" w:color="auto"/>
          <w:bottom w:val="single" w:sz="6" w:space="0" w:color="auto"/>
          <w:right w:val="single" w:sz="6" w:space="0" w:color="auto"/>
        </w:pBdr>
        <w:rPr>
          <w:sz w:val="20"/>
          <w:lang w:val="en-AU"/>
        </w:rPr>
      </w:pPr>
    </w:p>
    <w:p w14:paraId="4758AC0A" w14:textId="77777777" w:rsidR="0062163E" w:rsidRPr="00296F74" w:rsidRDefault="0062163E" w:rsidP="0062163E">
      <w:pPr>
        <w:pBdr>
          <w:top w:val="single" w:sz="6" w:space="0" w:color="auto"/>
          <w:left w:val="single" w:sz="6" w:space="0" w:color="auto"/>
          <w:bottom w:val="single" w:sz="6" w:space="0" w:color="auto"/>
          <w:right w:val="single" w:sz="6" w:space="0" w:color="auto"/>
        </w:pBdr>
        <w:rPr>
          <w:sz w:val="20"/>
          <w:lang w:val="en-AU"/>
        </w:rPr>
      </w:pPr>
      <w:r w:rsidRPr="00296F74">
        <w:rPr>
          <w:sz w:val="20"/>
          <w:lang w:val="en-AU"/>
        </w:rPr>
        <w:t xml:space="preserve">This variation will be published in the Commonwealth of Australia Gazette No. </w:t>
      </w:r>
      <w:proofErr w:type="gramStart"/>
      <w:r w:rsidRPr="00296F74">
        <w:rPr>
          <w:sz w:val="20"/>
          <w:lang w:val="en-AU"/>
        </w:rPr>
        <w:t xml:space="preserve">FSC </w:t>
      </w:r>
      <w:r w:rsidRPr="00296F74">
        <w:rPr>
          <w:color w:val="FF0000"/>
          <w:sz w:val="20"/>
          <w:lang w:val="en-AU"/>
        </w:rPr>
        <w:t>XX on XX Month 20XX</w:t>
      </w:r>
      <w:r w:rsidRPr="00296F74">
        <w:rPr>
          <w:sz w:val="20"/>
          <w:lang w:val="en-AU"/>
        </w:rPr>
        <w:t>.</w:t>
      </w:r>
      <w:proofErr w:type="gramEnd"/>
      <w:r w:rsidRPr="00296F74">
        <w:rPr>
          <w:sz w:val="20"/>
          <w:lang w:val="en-AU"/>
        </w:rPr>
        <w:t xml:space="preserve"> This means that this date is the gazettal date for the purposes of the above notice.</w:t>
      </w:r>
    </w:p>
    <w:p w14:paraId="2FCCE176" w14:textId="77777777" w:rsidR="0062163E" w:rsidRPr="00296F74" w:rsidRDefault="0062163E" w:rsidP="0062163E"/>
    <w:p w14:paraId="61F23FEF" w14:textId="77777777" w:rsidR="0062163E" w:rsidRPr="00296F74" w:rsidRDefault="0062163E" w:rsidP="0062163E">
      <w:r w:rsidRPr="00296F74">
        <w:br w:type="page"/>
      </w:r>
    </w:p>
    <w:p w14:paraId="2919B64F" w14:textId="77777777" w:rsidR="008443E2" w:rsidRPr="006C1225" w:rsidRDefault="008443E2" w:rsidP="008443E2">
      <w:pPr>
        <w:pStyle w:val="FSCDraftingitemheading"/>
      </w:pPr>
      <w:bookmarkStart w:id="102" w:name="_Toc414880389"/>
      <w:bookmarkStart w:id="103" w:name="_Toc420055543"/>
      <w:bookmarkStart w:id="104" w:name="_Toc430770446"/>
      <w:r w:rsidRPr="006C1225">
        <w:lastRenderedPageBreak/>
        <w:t>1</w:t>
      </w:r>
      <w:r w:rsidRPr="006C1225">
        <w:tab/>
        <w:t>Name</w:t>
      </w:r>
    </w:p>
    <w:p w14:paraId="5A73C060" w14:textId="77777777" w:rsidR="008443E2" w:rsidRPr="00DA1ABB" w:rsidRDefault="008443E2" w:rsidP="008443E2">
      <w:pPr>
        <w:pStyle w:val="FSCDraftingitem"/>
      </w:pPr>
      <w:r w:rsidRPr="00DA1ABB">
        <w:t xml:space="preserve">This instrument is the </w:t>
      </w:r>
      <w:r w:rsidRPr="002F3FB5">
        <w:rPr>
          <w:i/>
        </w:rPr>
        <w:t>F</w:t>
      </w:r>
      <w:r>
        <w:rPr>
          <w:i/>
        </w:rPr>
        <w:t>ood Standards (Application A1143</w:t>
      </w:r>
      <w:r w:rsidRPr="00EC7738">
        <w:rPr>
          <w:i/>
        </w:rPr>
        <w:t xml:space="preserve"> – Food derived from</w:t>
      </w:r>
      <w:r>
        <w:rPr>
          <w:i/>
        </w:rPr>
        <w:t xml:space="preserve"> DHA Canola line NS-B50027-4</w:t>
      </w:r>
      <w:r w:rsidRPr="00EC7738">
        <w:rPr>
          <w:i/>
        </w:rPr>
        <w:t>) Variation</w:t>
      </w:r>
      <w:r w:rsidRPr="00DA1ABB">
        <w:t>.</w:t>
      </w:r>
    </w:p>
    <w:p w14:paraId="25A80E40" w14:textId="77777777" w:rsidR="008443E2" w:rsidRPr="00DA1ABB" w:rsidRDefault="008443E2" w:rsidP="008443E2">
      <w:pPr>
        <w:pStyle w:val="FSCDraftingitemheading"/>
      </w:pPr>
      <w:r w:rsidRPr="00DA1ABB">
        <w:t>2</w:t>
      </w:r>
      <w:r w:rsidRPr="00DA1ABB">
        <w:tab/>
        <w:t xml:space="preserve">Variation to a Standard in the </w:t>
      </w:r>
      <w:r w:rsidRPr="00EC7738">
        <w:rPr>
          <w:i/>
        </w:rPr>
        <w:t>Australia New Zealand Food Standards Code</w:t>
      </w:r>
    </w:p>
    <w:p w14:paraId="3B376BE4" w14:textId="77777777" w:rsidR="008443E2" w:rsidRPr="00DA1ABB" w:rsidRDefault="008443E2" w:rsidP="008443E2">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5832DDF9" w14:textId="77777777" w:rsidR="008443E2" w:rsidRPr="00EC7738" w:rsidRDefault="008443E2" w:rsidP="008443E2">
      <w:pPr>
        <w:pStyle w:val="FSCDraftingitemheading"/>
      </w:pPr>
      <w:r w:rsidRPr="00DA1ABB">
        <w:t>3</w:t>
      </w:r>
      <w:r w:rsidRPr="00DA1ABB">
        <w:tab/>
        <w:t>Commencement</w:t>
      </w:r>
    </w:p>
    <w:p w14:paraId="327A729F" w14:textId="77777777" w:rsidR="008443E2" w:rsidRPr="00DA1ABB" w:rsidRDefault="008443E2" w:rsidP="008443E2">
      <w:pPr>
        <w:pStyle w:val="FSCDraftingitem"/>
      </w:pPr>
      <w:r w:rsidRPr="00DA1ABB">
        <w:t>The variation commences on the date of gazettal.</w:t>
      </w:r>
    </w:p>
    <w:p w14:paraId="1E8C1D73" w14:textId="77777777" w:rsidR="008443E2" w:rsidRDefault="008443E2" w:rsidP="008443E2">
      <w:pPr>
        <w:pStyle w:val="FSCDraftingitemheading"/>
        <w:jc w:val="center"/>
      </w:pPr>
      <w:r w:rsidRPr="00EC7738">
        <w:t>Schedule</w:t>
      </w:r>
    </w:p>
    <w:p w14:paraId="00527689" w14:textId="77777777" w:rsidR="008443E2" w:rsidRDefault="008443E2" w:rsidP="008443E2">
      <w:pPr>
        <w:pStyle w:val="FSCDraftingitemheading"/>
        <w:rPr>
          <w:b w:val="0"/>
        </w:rPr>
      </w:pPr>
      <w:r w:rsidRPr="002F3FB5">
        <w:t>[1]</w:t>
      </w:r>
      <w:r w:rsidRPr="002F3FB5">
        <w:tab/>
        <w:t xml:space="preserve">Schedule 26 </w:t>
      </w:r>
      <w:r w:rsidRPr="002F3FB5">
        <w:rPr>
          <w:b w:val="0"/>
        </w:rPr>
        <w:t xml:space="preserve">is varied by </w:t>
      </w:r>
    </w:p>
    <w:p w14:paraId="769A0A42" w14:textId="77777777" w:rsidR="008443E2" w:rsidRPr="002F3FB5" w:rsidRDefault="008443E2" w:rsidP="008443E2">
      <w:pPr>
        <w:pStyle w:val="FSCDraftingitemheading"/>
        <w:rPr>
          <w:b w:val="0"/>
        </w:rPr>
      </w:pPr>
    </w:p>
    <w:p w14:paraId="0E88716E" w14:textId="77777777" w:rsidR="008443E2" w:rsidRPr="002F3FB5" w:rsidRDefault="008443E2" w:rsidP="008443E2">
      <w:pPr>
        <w:pStyle w:val="FSCDraftingitemheading"/>
        <w:rPr>
          <w:b w:val="0"/>
        </w:rPr>
      </w:pPr>
      <w:r w:rsidRPr="002F3FB5">
        <w:t>[1.1]</w:t>
      </w:r>
      <w:r w:rsidRPr="002F3FB5">
        <w:rPr>
          <w:b w:val="0"/>
        </w:rPr>
        <w:tab/>
        <w:t xml:space="preserve">inserting in subsection S26—3(2) immediately before </w:t>
      </w:r>
      <w:r>
        <w:rPr>
          <w:b w:val="0"/>
        </w:rPr>
        <w:t>‘</w:t>
      </w:r>
      <w:r w:rsidRPr="002F3FB5">
        <w:rPr>
          <w:b w:val="0"/>
        </w:rPr>
        <w:t>2(m)</w:t>
      </w:r>
      <w:r>
        <w:rPr>
          <w:b w:val="0"/>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8443E2" w:rsidRPr="00DA1ABB" w14:paraId="65B979F8" w14:textId="77777777" w:rsidTr="007C76BC">
        <w:trPr>
          <w:cantSplit/>
        </w:trPr>
        <w:tc>
          <w:tcPr>
            <w:tcW w:w="903" w:type="dxa"/>
          </w:tcPr>
          <w:p w14:paraId="23743698" w14:textId="77777777" w:rsidR="008443E2" w:rsidRPr="00503B88" w:rsidRDefault="008443E2" w:rsidP="007C76BC">
            <w:pPr>
              <w:pStyle w:val="FSCtblPara"/>
              <w:rPr>
                <w:color w:val="000000" w:themeColor="text1"/>
                <w:highlight w:val="yellow"/>
              </w:rPr>
            </w:pPr>
          </w:p>
        </w:tc>
        <w:tc>
          <w:tcPr>
            <w:tcW w:w="1190" w:type="dxa"/>
          </w:tcPr>
          <w:p w14:paraId="3C5F3073" w14:textId="77777777" w:rsidR="008443E2" w:rsidRPr="00503B88" w:rsidRDefault="008443E2" w:rsidP="007C76BC">
            <w:pPr>
              <w:pStyle w:val="FSCtblPara"/>
              <w:rPr>
                <w:color w:val="000000" w:themeColor="text1"/>
                <w:highlight w:val="yellow"/>
              </w:rPr>
            </w:pPr>
          </w:p>
        </w:tc>
        <w:tc>
          <w:tcPr>
            <w:tcW w:w="6979" w:type="dxa"/>
          </w:tcPr>
          <w:p w14:paraId="2AD26D57" w14:textId="77777777" w:rsidR="008443E2" w:rsidRPr="003B4E1A" w:rsidRDefault="008443E2" w:rsidP="003A417D">
            <w:pPr>
              <w:pStyle w:val="FSCtMain"/>
            </w:pPr>
            <w:r w:rsidRPr="002F3FB5">
              <w:t>1(g),</w:t>
            </w:r>
            <w:r>
              <w:t xml:space="preserve"> </w:t>
            </w:r>
          </w:p>
        </w:tc>
      </w:tr>
    </w:tbl>
    <w:p w14:paraId="30E0AEBC" w14:textId="77777777" w:rsidR="00DD4F10" w:rsidRPr="00261166" w:rsidRDefault="00DD4F10" w:rsidP="00DD4F10">
      <w:pPr>
        <w:pStyle w:val="FSCDraftingitem"/>
      </w:pPr>
      <w:r>
        <w:rPr>
          <w:b/>
        </w:rPr>
        <w:t>[1.2</w:t>
      </w:r>
      <w:r w:rsidRPr="00DA1ABB">
        <w:rPr>
          <w:b/>
        </w:rPr>
        <w:t>]</w:t>
      </w:r>
      <w:r>
        <w:rPr>
          <w:b/>
        </w:rPr>
        <w:tab/>
      </w:r>
      <w:r w:rsidRPr="00261166">
        <w:t xml:space="preserve"> inserting in the table to subsection S26—3(4) in alphabetical order under Item 1</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DD4F10" w:rsidRPr="00261166" w14:paraId="5EBE8C60" w14:textId="77777777" w:rsidTr="00D87AF4">
        <w:trPr>
          <w:cantSplit/>
        </w:trPr>
        <w:tc>
          <w:tcPr>
            <w:tcW w:w="903" w:type="dxa"/>
          </w:tcPr>
          <w:p w14:paraId="369C28F5" w14:textId="77777777" w:rsidR="00DD4F10" w:rsidRPr="00261166" w:rsidRDefault="00DD4F10" w:rsidP="00D87AF4">
            <w:pPr>
              <w:pStyle w:val="FSCtblPara"/>
              <w:rPr>
                <w:color w:val="000000" w:themeColor="text1"/>
                <w:sz w:val="20"/>
                <w:szCs w:val="20"/>
              </w:rPr>
            </w:pPr>
          </w:p>
        </w:tc>
        <w:tc>
          <w:tcPr>
            <w:tcW w:w="1190" w:type="dxa"/>
          </w:tcPr>
          <w:p w14:paraId="1FDBFD7F" w14:textId="77777777" w:rsidR="00DD4F10" w:rsidRPr="00261166" w:rsidRDefault="00DD4F10" w:rsidP="00D87AF4">
            <w:pPr>
              <w:pStyle w:val="FSCtblPara"/>
              <w:rPr>
                <w:color w:val="000000" w:themeColor="text1"/>
                <w:sz w:val="20"/>
                <w:szCs w:val="20"/>
              </w:rPr>
            </w:pPr>
          </w:p>
        </w:tc>
        <w:tc>
          <w:tcPr>
            <w:tcW w:w="6979" w:type="dxa"/>
          </w:tcPr>
          <w:p w14:paraId="5598B758" w14:textId="0E4A8CD9" w:rsidR="00DD4F10" w:rsidRPr="00261166" w:rsidRDefault="00DD4F10" w:rsidP="00D87AF4">
            <w:pPr>
              <w:pStyle w:val="FSCtblPara"/>
              <w:rPr>
                <w:sz w:val="20"/>
                <w:szCs w:val="20"/>
              </w:rPr>
            </w:pPr>
            <w:r w:rsidRPr="00261166">
              <w:rPr>
                <w:sz w:val="20"/>
                <w:szCs w:val="20"/>
              </w:rPr>
              <w:t xml:space="preserve">(g) </w:t>
            </w:r>
            <w:r w:rsidRPr="00261166">
              <w:rPr>
                <w:sz w:val="20"/>
                <w:szCs w:val="20"/>
              </w:rPr>
              <w:tab/>
              <w:t>DHA canola line NS-B50027-4, subject to the condition that oil derived from DHA canola line NS-B50027-4 must not be used as an ingredient in infant formula products</w:t>
            </w:r>
          </w:p>
        </w:tc>
      </w:tr>
    </w:tbl>
    <w:p w14:paraId="5324CDF3" w14:textId="77777777" w:rsidR="0062163E" w:rsidRPr="00296F74" w:rsidRDefault="0062163E" w:rsidP="0062163E">
      <w:r w:rsidRPr="00296F74">
        <w:br w:type="page"/>
      </w:r>
    </w:p>
    <w:p w14:paraId="45FDC25C" w14:textId="77777777" w:rsidR="0062163E" w:rsidRDefault="0062163E" w:rsidP="0062163E">
      <w:pPr>
        <w:pStyle w:val="Heading2"/>
      </w:pPr>
      <w:bookmarkStart w:id="105" w:name="_Toc463450506"/>
      <w:bookmarkStart w:id="106" w:name="_Toc490726044"/>
      <w:r>
        <w:lastRenderedPageBreak/>
        <w:t xml:space="preserve">Draft </w:t>
      </w:r>
      <w:r w:rsidRPr="001A695A">
        <w:t>Explanatory Statement</w:t>
      </w:r>
      <w:bookmarkEnd w:id="102"/>
      <w:bookmarkEnd w:id="103"/>
      <w:bookmarkEnd w:id="104"/>
      <w:bookmarkEnd w:id="105"/>
      <w:bookmarkEnd w:id="106"/>
    </w:p>
    <w:p w14:paraId="33163085" w14:textId="77777777" w:rsidR="0062163E" w:rsidRPr="00557F9C" w:rsidRDefault="0062163E" w:rsidP="0062163E"/>
    <w:p w14:paraId="755023C6" w14:textId="77777777" w:rsidR="0062163E" w:rsidRPr="001A695A" w:rsidRDefault="0062163E" w:rsidP="0062163E">
      <w:pPr>
        <w:rPr>
          <w:b/>
          <w:lang w:val="en-AU"/>
        </w:rPr>
      </w:pPr>
      <w:r w:rsidRPr="001A695A">
        <w:rPr>
          <w:b/>
          <w:lang w:val="en-AU"/>
        </w:rPr>
        <w:t>1.</w:t>
      </w:r>
      <w:r w:rsidRPr="001A695A">
        <w:rPr>
          <w:b/>
          <w:lang w:val="en-AU"/>
        </w:rPr>
        <w:tab/>
        <w:t>Authority</w:t>
      </w:r>
    </w:p>
    <w:p w14:paraId="1E794B62" w14:textId="77777777" w:rsidR="0062163E" w:rsidRPr="001A695A" w:rsidRDefault="0062163E" w:rsidP="0062163E">
      <w:pPr>
        <w:rPr>
          <w:lang w:val="en-AU"/>
        </w:rPr>
      </w:pPr>
    </w:p>
    <w:p w14:paraId="2E4DAA05" w14:textId="77777777" w:rsidR="0062163E" w:rsidRPr="001A695A" w:rsidRDefault="0062163E" w:rsidP="0062163E">
      <w:pPr>
        <w:autoSpaceDE w:val="0"/>
        <w:autoSpaceDN w:val="0"/>
        <w:adjustRightInd w:val="0"/>
        <w:rPr>
          <w:rFonts w:eastAsia="Calibri" w:cs="Arial"/>
          <w:bCs/>
          <w:lang w:val="en-AU"/>
        </w:rPr>
      </w:pPr>
      <w:r w:rsidRPr="001A695A">
        <w:rPr>
          <w:rFonts w:eastAsia="Calibri" w:cs="Arial"/>
          <w:bCs/>
          <w:lang w:val="en-AU"/>
        </w:rPr>
        <w:t xml:space="preserve">Section 13 of the </w:t>
      </w:r>
      <w:r w:rsidRPr="001A695A">
        <w:rPr>
          <w:rFonts w:eastAsia="Calibri" w:cs="Arial"/>
          <w:bCs/>
          <w:i/>
          <w:lang w:val="en-AU"/>
        </w:rPr>
        <w:t>Food Standards Australia New Zealand Act 1991</w:t>
      </w:r>
      <w:r w:rsidRPr="001A695A">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1A695A">
        <w:rPr>
          <w:rFonts w:eastAsia="Calibri" w:cs="Arial"/>
          <w:bCs/>
          <w:i/>
          <w:lang w:val="en-AU"/>
        </w:rPr>
        <w:t>Australia New Zealand Food Standards Code</w:t>
      </w:r>
      <w:r w:rsidRPr="001A695A">
        <w:rPr>
          <w:rFonts w:eastAsia="Calibri" w:cs="Arial"/>
          <w:bCs/>
          <w:lang w:val="en-AU"/>
        </w:rPr>
        <w:t xml:space="preserve"> (the Code).</w:t>
      </w:r>
    </w:p>
    <w:p w14:paraId="74805D3A" w14:textId="77777777" w:rsidR="0062163E" w:rsidRPr="001A695A" w:rsidRDefault="0062163E" w:rsidP="0062163E">
      <w:pPr>
        <w:autoSpaceDE w:val="0"/>
        <w:autoSpaceDN w:val="0"/>
        <w:adjustRightInd w:val="0"/>
        <w:rPr>
          <w:rFonts w:eastAsia="Calibri" w:cs="Arial"/>
          <w:bCs/>
          <w:lang w:val="en-AU"/>
        </w:rPr>
      </w:pPr>
    </w:p>
    <w:p w14:paraId="7B856AFC" w14:textId="77777777" w:rsidR="0062163E" w:rsidRPr="001A695A" w:rsidRDefault="0062163E" w:rsidP="0062163E">
      <w:pPr>
        <w:autoSpaceDE w:val="0"/>
        <w:autoSpaceDN w:val="0"/>
        <w:adjustRightInd w:val="0"/>
        <w:rPr>
          <w:rFonts w:eastAsia="Calibri" w:cs="Arial"/>
          <w:bCs/>
          <w:lang w:val="en-AU"/>
        </w:rPr>
      </w:pPr>
      <w:r w:rsidRPr="001A695A">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8663B8F" w14:textId="77777777" w:rsidR="0062163E" w:rsidRPr="001A695A" w:rsidRDefault="0062163E" w:rsidP="0062163E">
      <w:pPr>
        <w:autoSpaceDE w:val="0"/>
        <w:autoSpaceDN w:val="0"/>
        <w:adjustRightInd w:val="0"/>
        <w:rPr>
          <w:rFonts w:eastAsia="Calibri" w:cs="Arial"/>
          <w:bCs/>
          <w:lang w:val="en-AU"/>
        </w:rPr>
      </w:pPr>
    </w:p>
    <w:p w14:paraId="1507BA17" w14:textId="13AD3248" w:rsidR="0062163E" w:rsidRDefault="0062163E" w:rsidP="0062163E">
      <w:pPr>
        <w:autoSpaceDE w:val="0"/>
        <w:autoSpaceDN w:val="0"/>
        <w:adjustRightInd w:val="0"/>
        <w:rPr>
          <w:rFonts w:eastAsia="Calibri" w:cs="Arial"/>
          <w:bCs/>
          <w:color w:val="000000" w:themeColor="text1"/>
          <w:szCs w:val="22"/>
        </w:rPr>
      </w:pPr>
      <w:r w:rsidRPr="001A695A">
        <w:rPr>
          <w:rFonts w:eastAsia="Calibri" w:cs="Arial"/>
          <w:bCs/>
          <w:lang w:val="en-AU"/>
        </w:rPr>
        <w:t>The Authority</w:t>
      </w:r>
      <w:r>
        <w:rPr>
          <w:rFonts w:eastAsia="Calibri" w:cs="Arial"/>
          <w:bCs/>
          <w:lang w:val="en-AU"/>
        </w:rPr>
        <w:t xml:space="preserve"> accepted Application A1143</w:t>
      </w:r>
      <w:r w:rsidRPr="001A695A">
        <w:rPr>
          <w:rFonts w:eastAsia="Calibri" w:cs="Arial"/>
          <w:bCs/>
          <w:lang w:val="en-AU"/>
        </w:rPr>
        <w:t xml:space="preserve"> which seeks </w:t>
      </w:r>
      <w:r w:rsidRPr="001A695A">
        <w:t xml:space="preserve">permission for the sale and use of food derived from </w:t>
      </w:r>
      <w:r>
        <w:rPr>
          <w:rFonts w:eastAsia="Calibri" w:cs="Arial"/>
          <w:bCs/>
          <w:color w:val="000000" w:themeColor="text1"/>
          <w:szCs w:val="22"/>
        </w:rPr>
        <w:t>a genetically modified canola line, NS-B50027-4, which produces</w:t>
      </w:r>
      <w:r w:rsidR="004E6D52">
        <w:rPr>
          <w:rFonts w:eastAsia="Calibri" w:cs="Arial"/>
          <w:bCs/>
          <w:color w:val="000000" w:themeColor="text1"/>
          <w:szCs w:val="22"/>
        </w:rPr>
        <w:t xml:space="preserve"> long-chain </w:t>
      </w:r>
      <w:r>
        <w:rPr>
          <w:rFonts w:eastAsia="Calibri" w:cs="Arial"/>
          <w:bCs/>
          <w:color w:val="000000" w:themeColor="text1"/>
          <w:szCs w:val="22"/>
        </w:rPr>
        <w:t xml:space="preserve">omega-3 fatty acids, particularly docosahexaenoic acid (DHA) in the seed. </w:t>
      </w:r>
      <w:r w:rsidRPr="00B0301E">
        <w:rPr>
          <w:rFonts w:eastAsia="Calibri" w:cs="Arial"/>
          <w:bCs/>
          <w:color w:val="000000" w:themeColor="text1"/>
          <w:szCs w:val="22"/>
          <w:lang w:val="en-AU"/>
        </w:rPr>
        <w:t>The Authority considered the Application in accordance with Divis</w:t>
      </w:r>
      <w:r>
        <w:rPr>
          <w:rFonts w:eastAsia="Calibri" w:cs="Arial"/>
          <w:bCs/>
          <w:color w:val="000000" w:themeColor="text1"/>
          <w:szCs w:val="22"/>
          <w:lang w:val="en-AU"/>
        </w:rPr>
        <w:t>ion 1 of Part 3 and has prepared</w:t>
      </w:r>
      <w:r w:rsidRPr="00B0301E">
        <w:rPr>
          <w:rFonts w:eastAsia="Calibri" w:cs="Arial"/>
          <w:bCs/>
          <w:color w:val="000000" w:themeColor="text1"/>
          <w:szCs w:val="22"/>
          <w:lang w:val="en-AU"/>
        </w:rPr>
        <w:t xml:space="preserve"> a draft variation.</w:t>
      </w:r>
    </w:p>
    <w:p w14:paraId="647AAF5D" w14:textId="77777777" w:rsidR="0062163E" w:rsidRPr="001A695A" w:rsidRDefault="0062163E" w:rsidP="0062163E">
      <w:pPr>
        <w:autoSpaceDE w:val="0"/>
        <w:autoSpaceDN w:val="0"/>
        <w:adjustRightInd w:val="0"/>
        <w:rPr>
          <w:rFonts w:eastAsia="Calibri" w:cs="Arial"/>
          <w:bCs/>
          <w:lang w:val="en-AU"/>
        </w:rPr>
      </w:pPr>
    </w:p>
    <w:p w14:paraId="51A666AA" w14:textId="77777777" w:rsidR="0062163E" w:rsidRPr="001A695A" w:rsidRDefault="0062163E" w:rsidP="0062163E">
      <w:pPr>
        <w:rPr>
          <w:b/>
          <w:lang w:val="en-AU"/>
        </w:rPr>
      </w:pPr>
      <w:r w:rsidRPr="001A695A">
        <w:rPr>
          <w:b/>
          <w:lang w:val="en-AU"/>
        </w:rPr>
        <w:t>2.</w:t>
      </w:r>
      <w:r w:rsidRPr="001A695A">
        <w:rPr>
          <w:b/>
          <w:lang w:val="en-AU"/>
        </w:rPr>
        <w:tab/>
        <w:t xml:space="preserve">Purpose </w:t>
      </w:r>
    </w:p>
    <w:p w14:paraId="77BD6677" w14:textId="77777777" w:rsidR="0062163E" w:rsidRPr="001A695A" w:rsidRDefault="0062163E" w:rsidP="0062163E">
      <w:pPr>
        <w:rPr>
          <w:lang w:val="en-AU"/>
        </w:rPr>
      </w:pPr>
    </w:p>
    <w:p w14:paraId="3810D3D9" w14:textId="50604F57" w:rsidR="0062163E" w:rsidRPr="001E0CD5" w:rsidRDefault="0062163E" w:rsidP="0062163E">
      <w:pPr>
        <w:rPr>
          <w:color w:val="000000" w:themeColor="text1"/>
          <w:lang w:eastAsia="en-GB"/>
        </w:rPr>
      </w:pPr>
      <w:r w:rsidRPr="001E0CD5">
        <w:rPr>
          <w:color w:val="000000" w:themeColor="text1"/>
          <w:lang w:eastAsia="en-GB"/>
        </w:rPr>
        <w:t xml:space="preserve">The variation </w:t>
      </w:r>
      <w:r w:rsidR="00593BED">
        <w:rPr>
          <w:color w:val="000000" w:themeColor="text1"/>
          <w:lang w:eastAsia="en-GB"/>
        </w:rPr>
        <w:t>varies</w:t>
      </w:r>
      <w:r w:rsidRPr="001E0CD5">
        <w:rPr>
          <w:color w:val="000000" w:themeColor="text1"/>
          <w:lang w:eastAsia="en-GB"/>
        </w:rPr>
        <w:t xml:space="preserve"> Schedule 26 to permit the sale, or use in food, </w:t>
      </w:r>
      <w:r>
        <w:rPr>
          <w:color w:val="000000" w:themeColor="text1"/>
          <w:lang w:eastAsia="en-GB"/>
        </w:rPr>
        <w:t xml:space="preserve">of food derived from </w:t>
      </w:r>
      <w:r w:rsidR="00593BED">
        <w:rPr>
          <w:color w:val="000000" w:themeColor="text1"/>
          <w:lang w:eastAsia="en-GB"/>
        </w:rPr>
        <w:t>DHA canola line NS-B50027-4</w:t>
      </w:r>
      <w:r w:rsidR="00886D08">
        <w:rPr>
          <w:color w:val="000000" w:themeColor="text1"/>
          <w:lang w:eastAsia="en-GB"/>
        </w:rPr>
        <w:t xml:space="preserve"> and to ensure that labelling requirements set out in </w:t>
      </w:r>
      <w:r w:rsidR="00886D08">
        <w:rPr>
          <w:color w:val="000000" w:themeColor="text1"/>
        </w:rPr>
        <w:t>section 1.5.2</w:t>
      </w:r>
      <w:r w:rsidR="00886D08">
        <w:t>–4</w:t>
      </w:r>
      <w:r w:rsidR="00AE552E">
        <w:t xml:space="preserve">, </w:t>
      </w:r>
      <w:r w:rsidR="00AE552E">
        <w:rPr>
          <w:color w:val="000000" w:themeColor="text1"/>
          <w:lang w:eastAsia="en-GB"/>
        </w:rPr>
        <w:t>in relation to such food,</w:t>
      </w:r>
      <w:r w:rsidR="00886D08">
        <w:t xml:space="preserve"> are met</w:t>
      </w:r>
      <w:r w:rsidRPr="001E0CD5">
        <w:rPr>
          <w:color w:val="000000" w:themeColor="text1"/>
          <w:lang w:eastAsia="en-GB"/>
        </w:rPr>
        <w:t>.</w:t>
      </w:r>
    </w:p>
    <w:p w14:paraId="789C05F8" w14:textId="77777777" w:rsidR="0062163E" w:rsidRPr="001A695A" w:rsidRDefault="0062163E" w:rsidP="0062163E">
      <w:pPr>
        <w:rPr>
          <w:lang w:val="en-AU"/>
        </w:rPr>
      </w:pPr>
    </w:p>
    <w:p w14:paraId="149DE8A4" w14:textId="77777777" w:rsidR="0062163E" w:rsidRPr="001A695A" w:rsidRDefault="0062163E" w:rsidP="0062163E">
      <w:pPr>
        <w:rPr>
          <w:b/>
          <w:lang w:val="en-AU"/>
        </w:rPr>
      </w:pPr>
      <w:r w:rsidRPr="001A695A">
        <w:rPr>
          <w:b/>
          <w:lang w:val="en-AU"/>
        </w:rPr>
        <w:t>3.</w:t>
      </w:r>
      <w:r w:rsidRPr="001A695A">
        <w:rPr>
          <w:b/>
          <w:lang w:val="en-AU"/>
        </w:rPr>
        <w:tab/>
        <w:t>Documents incorporated by reference</w:t>
      </w:r>
    </w:p>
    <w:p w14:paraId="08F2A47D" w14:textId="77777777" w:rsidR="0062163E" w:rsidRPr="001A695A" w:rsidRDefault="0062163E" w:rsidP="0062163E">
      <w:pPr>
        <w:rPr>
          <w:lang w:val="en-AU"/>
        </w:rPr>
      </w:pPr>
    </w:p>
    <w:p w14:paraId="5F9CF8C5" w14:textId="77777777" w:rsidR="0062163E" w:rsidRPr="001A695A" w:rsidRDefault="0062163E" w:rsidP="0062163E">
      <w:pPr>
        <w:autoSpaceDE w:val="0"/>
        <w:autoSpaceDN w:val="0"/>
        <w:adjustRightInd w:val="0"/>
        <w:rPr>
          <w:rFonts w:eastAsia="Calibri" w:cs="Arial"/>
          <w:bCs/>
          <w:lang w:val="en-AU"/>
        </w:rPr>
      </w:pPr>
      <w:r w:rsidRPr="001A695A">
        <w:rPr>
          <w:rFonts w:eastAsia="Calibri" w:cs="Arial"/>
          <w:bCs/>
          <w:lang w:val="en-AU"/>
        </w:rPr>
        <w:t>The variations to food regulatory measures do not incorporate any documents by reference.</w:t>
      </w:r>
    </w:p>
    <w:p w14:paraId="24008199" w14:textId="77777777" w:rsidR="0062163E" w:rsidRPr="001A695A" w:rsidRDefault="0062163E" w:rsidP="0062163E">
      <w:pPr>
        <w:rPr>
          <w:lang w:val="en-AU"/>
        </w:rPr>
      </w:pPr>
    </w:p>
    <w:p w14:paraId="427890DD" w14:textId="77777777" w:rsidR="0062163E" w:rsidRPr="001A695A" w:rsidRDefault="0062163E" w:rsidP="0062163E">
      <w:pPr>
        <w:rPr>
          <w:b/>
          <w:lang w:val="en-AU"/>
        </w:rPr>
      </w:pPr>
      <w:r w:rsidRPr="001A695A">
        <w:rPr>
          <w:b/>
          <w:lang w:val="en-AU"/>
        </w:rPr>
        <w:t>4.</w:t>
      </w:r>
      <w:r w:rsidRPr="001A695A">
        <w:rPr>
          <w:b/>
          <w:lang w:val="en-AU"/>
        </w:rPr>
        <w:tab/>
        <w:t>Consultation</w:t>
      </w:r>
    </w:p>
    <w:p w14:paraId="265A56AA" w14:textId="77777777" w:rsidR="0062163E" w:rsidRPr="001A695A" w:rsidRDefault="0062163E" w:rsidP="0062163E">
      <w:pPr>
        <w:rPr>
          <w:lang w:val="en-AU"/>
        </w:rPr>
      </w:pPr>
    </w:p>
    <w:p w14:paraId="72BB6C34" w14:textId="77777777" w:rsidR="0062163E" w:rsidRPr="001A695A" w:rsidRDefault="0062163E" w:rsidP="0062163E">
      <w:r w:rsidRPr="001A695A">
        <w:t>In accordance with the procedure in Division 1 of Part 3 of the FSANZ Act, the Authority’s consideration of Applicati</w:t>
      </w:r>
      <w:r>
        <w:t>on A1143 will</w:t>
      </w:r>
      <w:r w:rsidRPr="001A695A">
        <w:t xml:space="preserve"> include one round of public consultation following an assessment and the preparation of a draft variation. </w:t>
      </w:r>
    </w:p>
    <w:p w14:paraId="1B330CCA" w14:textId="77777777" w:rsidR="0062163E" w:rsidRPr="001A695A" w:rsidRDefault="0062163E" w:rsidP="0062163E"/>
    <w:p w14:paraId="107E6BA4" w14:textId="19D08B95" w:rsidR="0062163E" w:rsidRPr="001A695A" w:rsidRDefault="0062163E" w:rsidP="0062163E">
      <w:pPr>
        <w:autoSpaceDE w:val="0"/>
        <w:autoSpaceDN w:val="0"/>
      </w:pPr>
      <w:r w:rsidRPr="001A695A">
        <w:t xml:space="preserve">A Regulation Impact Statement </w:t>
      </w:r>
      <w:r w:rsidR="00E95E98">
        <w:t>is</w:t>
      </w:r>
      <w:r w:rsidR="00E95E98" w:rsidRPr="001A695A">
        <w:t xml:space="preserve"> </w:t>
      </w:r>
      <w:r w:rsidRPr="001A695A">
        <w:t xml:space="preserve">not required </w:t>
      </w:r>
      <w:r w:rsidR="00E95E98">
        <w:t xml:space="preserve">by the </w:t>
      </w:r>
      <w:r w:rsidR="00E95E98" w:rsidRPr="00801000">
        <w:rPr>
          <w:rFonts w:cs="Arial"/>
          <w:color w:val="000000" w:themeColor="text1"/>
        </w:rPr>
        <w:t>Office of</w:t>
      </w:r>
      <w:r w:rsidR="00E95E98">
        <w:rPr>
          <w:rFonts w:cs="Arial"/>
          <w:color w:val="000000" w:themeColor="text1"/>
        </w:rPr>
        <w:t xml:space="preserve"> Best Practice Regulation </w:t>
      </w:r>
      <w:r w:rsidRPr="001A695A">
        <w:t xml:space="preserve">because the sale of food derived from </w:t>
      </w:r>
      <w:r>
        <w:t>canola line NS-B50027-4</w:t>
      </w:r>
      <w:r w:rsidRPr="001A695A">
        <w:t>, if approved, would be voluntary and would be likely to have a minor impact on business and individuals</w:t>
      </w:r>
      <w:r w:rsidR="00E95E98">
        <w:t xml:space="preserve"> (see </w:t>
      </w:r>
      <w:r w:rsidR="00E95E98">
        <w:rPr>
          <w:rFonts w:cs="Arial"/>
          <w:color w:val="000000" w:themeColor="text1"/>
        </w:rPr>
        <w:t>ref</w:t>
      </w:r>
      <w:r w:rsidR="00E95E98" w:rsidRPr="00801000">
        <w:rPr>
          <w:rFonts w:cs="Arial"/>
          <w:color w:val="000000" w:themeColor="text1"/>
        </w:rPr>
        <w:t xml:space="preserve"> 12065)</w:t>
      </w:r>
      <w:r w:rsidRPr="001A695A">
        <w:t xml:space="preserve">. </w:t>
      </w:r>
    </w:p>
    <w:p w14:paraId="5CF42647" w14:textId="77777777" w:rsidR="0062163E" w:rsidRPr="001A695A" w:rsidRDefault="0062163E" w:rsidP="0062163E">
      <w:pPr>
        <w:rPr>
          <w:rFonts w:cs="Arial"/>
          <w:b/>
          <w:bCs/>
          <w:lang w:val="en-AU"/>
        </w:rPr>
      </w:pPr>
    </w:p>
    <w:p w14:paraId="1D6D585F" w14:textId="77777777" w:rsidR="0062163E" w:rsidRPr="001A695A" w:rsidRDefault="0062163E" w:rsidP="0062163E">
      <w:pPr>
        <w:rPr>
          <w:rFonts w:cs="Arial"/>
          <w:b/>
          <w:bCs/>
          <w:lang w:val="en-AU"/>
        </w:rPr>
      </w:pPr>
      <w:r w:rsidRPr="001A695A">
        <w:rPr>
          <w:rFonts w:cs="Arial"/>
          <w:b/>
          <w:bCs/>
          <w:lang w:val="en-AU"/>
        </w:rPr>
        <w:t>5.</w:t>
      </w:r>
      <w:r w:rsidRPr="001A695A">
        <w:rPr>
          <w:rFonts w:cs="Arial"/>
          <w:b/>
          <w:bCs/>
          <w:lang w:val="en-AU"/>
        </w:rPr>
        <w:tab/>
        <w:t>Statement of compatibility with human rights</w:t>
      </w:r>
    </w:p>
    <w:p w14:paraId="06E4018B" w14:textId="77777777" w:rsidR="0062163E" w:rsidRPr="001A695A" w:rsidRDefault="0062163E" w:rsidP="0062163E">
      <w:pPr>
        <w:rPr>
          <w:lang w:val="en-AU"/>
        </w:rPr>
      </w:pPr>
    </w:p>
    <w:p w14:paraId="741BDA7B" w14:textId="77777777" w:rsidR="0062163E" w:rsidRPr="001A695A" w:rsidRDefault="0062163E" w:rsidP="0062163E">
      <w:pPr>
        <w:rPr>
          <w:lang w:val="en-AU"/>
        </w:rPr>
      </w:pPr>
      <w:r w:rsidRPr="001A695A">
        <w:rPr>
          <w:lang w:val="en-AU"/>
        </w:rPr>
        <w:t>This instrument is exempt from the requirements for a statement of compatibility with human rights as it is a non-disallowable instrument under section 94 of the FSANZ Act.</w:t>
      </w:r>
    </w:p>
    <w:p w14:paraId="6B99883B" w14:textId="77777777" w:rsidR="0062163E" w:rsidRDefault="0062163E" w:rsidP="0062163E">
      <w:pPr>
        <w:rPr>
          <w:b/>
        </w:rPr>
      </w:pPr>
    </w:p>
    <w:p w14:paraId="7C0C40AE" w14:textId="77777777" w:rsidR="0062163E" w:rsidRPr="001A695A" w:rsidRDefault="0062163E" w:rsidP="0062163E">
      <w:pPr>
        <w:rPr>
          <w:b/>
          <w:lang w:val="en-AU"/>
        </w:rPr>
      </w:pPr>
      <w:r w:rsidRPr="001A695A">
        <w:rPr>
          <w:b/>
        </w:rPr>
        <w:t>6.</w:t>
      </w:r>
      <w:r w:rsidRPr="001A695A">
        <w:rPr>
          <w:b/>
        </w:rPr>
        <w:tab/>
      </w:r>
      <w:r w:rsidRPr="001A695A">
        <w:rPr>
          <w:b/>
          <w:lang w:val="en-AU"/>
        </w:rPr>
        <w:t>Variation</w:t>
      </w:r>
    </w:p>
    <w:p w14:paraId="7D1A6026" w14:textId="77777777" w:rsidR="0062163E" w:rsidRPr="001A695A" w:rsidRDefault="0062163E" w:rsidP="0062163E">
      <w:pPr>
        <w:rPr>
          <w:b/>
        </w:rPr>
      </w:pPr>
    </w:p>
    <w:p w14:paraId="6BD59BCC" w14:textId="77777777" w:rsidR="008443E2" w:rsidRPr="002F3FB5" w:rsidRDefault="008443E2" w:rsidP="008443E2">
      <w:r w:rsidRPr="002F3FB5">
        <w:rPr>
          <w:color w:val="000000" w:themeColor="text1"/>
        </w:rPr>
        <w:t xml:space="preserve">Item [1] </w:t>
      </w:r>
      <w:r>
        <w:rPr>
          <w:color w:val="000000" w:themeColor="text1"/>
        </w:rPr>
        <w:t xml:space="preserve">of the draft variation </w:t>
      </w:r>
      <w:r w:rsidRPr="002F3FB5">
        <w:rPr>
          <w:color w:val="000000" w:themeColor="text1"/>
        </w:rPr>
        <w:t xml:space="preserve">varies </w:t>
      </w:r>
      <w:r w:rsidRPr="002F3FB5">
        <w:t>Schedule 26.</w:t>
      </w:r>
    </w:p>
    <w:p w14:paraId="7CC6CD14" w14:textId="77777777" w:rsidR="008443E2" w:rsidRPr="002F3FB5" w:rsidRDefault="008443E2" w:rsidP="008443E2"/>
    <w:p w14:paraId="71B66EB9" w14:textId="782D6982" w:rsidR="008443E2" w:rsidRPr="002F3FB5" w:rsidRDefault="004E7433" w:rsidP="008443E2">
      <w:pPr>
        <w:rPr>
          <w:color w:val="000000" w:themeColor="text1"/>
        </w:rPr>
      </w:pPr>
      <w:proofErr w:type="spellStart"/>
      <w:r>
        <w:t>Subi</w:t>
      </w:r>
      <w:r w:rsidRPr="002F3FB5">
        <w:t>tem</w:t>
      </w:r>
      <w:proofErr w:type="spellEnd"/>
      <w:r w:rsidRPr="002F3FB5">
        <w:t xml:space="preserve"> </w:t>
      </w:r>
      <w:r w:rsidR="008443E2" w:rsidRPr="002F3FB5">
        <w:t xml:space="preserve">[1.1] inserts </w:t>
      </w:r>
      <w:r w:rsidR="008443E2" w:rsidRPr="002F3FB5">
        <w:rPr>
          <w:color w:val="000000" w:themeColor="text1"/>
        </w:rPr>
        <w:t xml:space="preserve">into subsection </w:t>
      </w:r>
      <w:r w:rsidR="008443E2" w:rsidRPr="002F3FB5">
        <w:t xml:space="preserve">S26—3(2) a reference to </w:t>
      </w:r>
      <w:r w:rsidR="005943BD">
        <w:t>i</w:t>
      </w:r>
      <w:r w:rsidR="005943BD" w:rsidRPr="002F3FB5">
        <w:t xml:space="preserve">tem </w:t>
      </w:r>
      <w:r w:rsidR="008443E2" w:rsidRPr="002F3FB5">
        <w:t xml:space="preserve">1(g) </w:t>
      </w:r>
      <w:r w:rsidR="008443E2" w:rsidRPr="00A97BAE">
        <w:rPr>
          <w:color w:val="000000" w:themeColor="text1"/>
        </w:rPr>
        <w:t>of the table to subsection S26—3(4)</w:t>
      </w:r>
      <w:r w:rsidR="008443E2">
        <w:rPr>
          <w:color w:val="000000" w:themeColor="text1"/>
        </w:rPr>
        <w:t xml:space="preserve">. </w:t>
      </w:r>
      <w:r w:rsidR="008443E2" w:rsidRPr="000E34EA">
        <w:t xml:space="preserve">The effect of </w:t>
      </w:r>
      <w:r w:rsidR="008443E2">
        <w:t>this</w:t>
      </w:r>
      <w:r w:rsidR="008443E2" w:rsidRPr="000E34EA">
        <w:t xml:space="preserve"> </w:t>
      </w:r>
      <w:r w:rsidR="006E73CC">
        <w:t>change</w:t>
      </w:r>
      <w:r w:rsidR="006E73CC" w:rsidRPr="000E34EA">
        <w:t xml:space="preserve"> </w:t>
      </w:r>
      <w:r w:rsidR="008443E2">
        <w:t>will be</w:t>
      </w:r>
      <w:r w:rsidR="008443E2" w:rsidRPr="000E34EA">
        <w:t xml:space="preserve"> to</w:t>
      </w:r>
      <w:r w:rsidR="008443E2">
        <w:t xml:space="preserve"> require a food for sale that consists of </w:t>
      </w:r>
      <w:r w:rsidR="008443E2">
        <w:rPr>
          <w:color w:val="000000" w:themeColor="text1"/>
        </w:rPr>
        <w:t>DHA canola line NS-B50027-4 or that has the latter as an ingredient to comply with the labelling requirement imposed by section 1.5.2</w:t>
      </w:r>
      <w:r w:rsidR="008443E2" w:rsidRPr="000E34EA">
        <w:t>—</w:t>
      </w:r>
      <w:r w:rsidR="008443E2">
        <w:t>4 of the Code.</w:t>
      </w:r>
    </w:p>
    <w:p w14:paraId="7EC2B626" w14:textId="77777777" w:rsidR="008443E2" w:rsidRPr="001A695A" w:rsidRDefault="008443E2" w:rsidP="008443E2">
      <w:pPr>
        <w:rPr>
          <w:b/>
        </w:rPr>
      </w:pPr>
    </w:p>
    <w:p w14:paraId="494BE56C" w14:textId="01358948" w:rsidR="008443E2" w:rsidRDefault="008443E2" w:rsidP="008443E2">
      <w:pPr>
        <w:widowControl/>
        <w:rPr>
          <w:color w:val="000000" w:themeColor="text1"/>
        </w:rPr>
      </w:pPr>
    </w:p>
    <w:p w14:paraId="3B110010" w14:textId="2B185064" w:rsidR="00DD4F10" w:rsidRPr="00D5542A" w:rsidRDefault="009F3CCF" w:rsidP="00DD4F10">
      <w:pPr>
        <w:rPr>
          <w:color w:val="000000" w:themeColor="text1"/>
          <w:szCs w:val="22"/>
        </w:rPr>
      </w:pPr>
      <w:proofErr w:type="spellStart"/>
      <w:r>
        <w:rPr>
          <w:color w:val="000000" w:themeColor="text1"/>
          <w:szCs w:val="22"/>
        </w:rPr>
        <w:t>Subi</w:t>
      </w:r>
      <w:r w:rsidRPr="00D5542A">
        <w:rPr>
          <w:color w:val="000000" w:themeColor="text1"/>
          <w:szCs w:val="22"/>
        </w:rPr>
        <w:t>tem</w:t>
      </w:r>
      <w:proofErr w:type="spellEnd"/>
      <w:r w:rsidRPr="00D5542A">
        <w:rPr>
          <w:color w:val="000000" w:themeColor="text1"/>
          <w:szCs w:val="22"/>
        </w:rPr>
        <w:t xml:space="preserve"> </w:t>
      </w:r>
      <w:r w:rsidR="00DD4F10" w:rsidRPr="00D5542A">
        <w:rPr>
          <w:color w:val="000000" w:themeColor="text1"/>
          <w:szCs w:val="22"/>
        </w:rPr>
        <w:t xml:space="preserve">[1.2] inserts paragraph (g) into </w:t>
      </w:r>
      <w:r w:rsidR="00B27461">
        <w:rPr>
          <w:color w:val="000000" w:themeColor="text1"/>
          <w:szCs w:val="22"/>
        </w:rPr>
        <w:t>i</w:t>
      </w:r>
      <w:r w:rsidR="00B27461" w:rsidRPr="00D5542A">
        <w:rPr>
          <w:color w:val="000000" w:themeColor="text1"/>
          <w:szCs w:val="22"/>
        </w:rPr>
        <w:t xml:space="preserve">tem </w:t>
      </w:r>
      <w:r w:rsidR="00DD4F10" w:rsidRPr="00D5542A">
        <w:rPr>
          <w:color w:val="000000" w:themeColor="text1"/>
          <w:szCs w:val="22"/>
        </w:rPr>
        <w:t>1 of the table to subsection S26—3(4) in Schedule 26. The new paragraph refers to DHA canola line NS-B50027-4.</w:t>
      </w:r>
      <w:r w:rsidR="00DD4F10" w:rsidRPr="00D5542A">
        <w:rPr>
          <w:color w:val="000000" w:themeColor="text1"/>
          <w:szCs w:val="22"/>
          <w:lang w:val="en-AU"/>
        </w:rPr>
        <w:t xml:space="preserve"> It also states that </w:t>
      </w:r>
      <w:r w:rsidR="00DD4F10" w:rsidRPr="00D5542A">
        <w:rPr>
          <w:szCs w:val="22"/>
        </w:rPr>
        <w:t>oil derived from DHA canola line NS-B50027-4 must not be used as an ingredient in infant formula products</w:t>
      </w:r>
      <w:r w:rsidR="00B34B71">
        <w:rPr>
          <w:szCs w:val="22"/>
        </w:rPr>
        <w:t>.</w:t>
      </w:r>
      <w:r w:rsidR="00DD4F10" w:rsidRPr="00D5542A">
        <w:rPr>
          <w:color w:val="000000" w:themeColor="text1"/>
          <w:szCs w:val="22"/>
          <w:lang w:val="en-AU"/>
        </w:rPr>
        <w:t xml:space="preserve"> The effect of the </w:t>
      </w:r>
      <w:r w:rsidR="00B27461">
        <w:rPr>
          <w:color w:val="000000" w:themeColor="text1"/>
          <w:szCs w:val="22"/>
          <w:lang w:val="en-AU"/>
        </w:rPr>
        <w:t>change</w:t>
      </w:r>
      <w:r w:rsidR="00B27461" w:rsidRPr="00D5542A">
        <w:rPr>
          <w:color w:val="000000" w:themeColor="text1"/>
          <w:szCs w:val="22"/>
          <w:lang w:val="en-AU"/>
        </w:rPr>
        <w:t xml:space="preserve"> </w:t>
      </w:r>
      <w:r w:rsidR="00DD4F10" w:rsidRPr="00D5542A">
        <w:rPr>
          <w:color w:val="000000" w:themeColor="text1"/>
          <w:szCs w:val="22"/>
          <w:lang w:val="en-AU"/>
        </w:rPr>
        <w:t xml:space="preserve">is to permit </w:t>
      </w:r>
      <w:r w:rsidR="00DD4F10" w:rsidRPr="00D5542A">
        <w:rPr>
          <w:color w:val="000000" w:themeColor="text1"/>
          <w:szCs w:val="22"/>
        </w:rPr>
        <w:t>the sale and use of food derived from that canola line</w:t>
      </w:r>
      <w:r w:rsidR="00DD4F10" w:rsidRPr="00D5542A">
        <w:rPr>
          <w:color w:val="000000" w:themeColor="text1"/>
          <w:szCs w:val="22"/>
          <w:lang w:val="en-AU"/>
        </w:rPr>
        <w:t xml:space="preserve"> in accordance with Standard 1.5.2, subject to </w:t>
      </w:r>
      <w:r w:rsidR="00DD4F10">
        <w:rPr>
          <w:color w:val="000000" w:themeColor="text1"/>
          <w:szCs w:val="22"/>
          <w:lang w:val="en-AU"/>
        </w:rPr>
        <w:t>a requirement or condition</w:t>
      </w:r>
      <w:r w:rsidR="00DD4F10" w:rsidRPr="00D5542A">
        <w:rPr>
          <w:color w:val="000000" w:themeColor="text1"/>
          <w:szCs w:val="22"/>
          <w:lang w:val="en-AU"/>
        </w:rPr>
        <w:t xml:space="preserve"> that </w:t>
      </w:r>
      <w:r w:rsidR="00DD4F10" w:rsidRPr="00D5542A">
        <w:rPr>
          <w:szCs w:val="22"/>
        </w:rPr>
        <w:t>oil derived from DHA canola line NS-B50027-4 not be used as an ingredient in infant formula products</w:t>
      </w:r>
      <w:r w:rsidR="00DD4F10" w:rsidRPr="00D5542A">
        <w:rPr>
          <w:color w:val="000000" w:themeColor="text1"/>
          <w:szCs w:val="22"/>
        </w:rPr>
        <w:t>.</w:t>
      </w:r>
    </w:p>
    <w:p w14:paraId="07791427" w14:textId="77777777" w:rsidR="007C174F" w:rsidRDefault="007C174F" w:rsidP="0062163E">
      <w:bookmarkStart w:id="107" w:name="_GoBack"/>
      <w:bookmarkEnd w:id="107"/>
    </w:p>
    <w:sectPr w:rsidR="007C174F" w:rsidSect="00CC36E7">
      <w:headerReference w:type="even" r:id="rId26"/>
      <w:headerReference w:type="default" r:id="rId27"/>
      <w:footerReference w:type="even" r:id="rId28"/>
      <w:footerReference w:type="default" r:id="rId29"/>
      <w:headerReference w:type="first" r:id="rId30"/>
      <w:footerReference w:type="first" r:id="rId31"/>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18DCA" w14:textId="77777777" w:rsidR="00BC1FDD" w:rsidRDefault="00BC1FDD">
      <w:r>
        <w:separator/>
      </w:r>
    </w:p>
  </w:endnote>
  <w:endnote w:type="continuationSeparator" w:id="0">
    <w:p w14:paraId="144CC247" w14:textId="77777777" w:rsidR="00BC1FDD" w:rsidRDefault="00BC1FDD">
      <w:r>
        <w:continuationSeparator/>
      </w:r>
    </w:p>
  </w:endnote>
  <w:endnote w:type="continuationNotice" w:id="1">
    <w:p w14:paraId="42AF591A" w14:textId="77777777" w:rsidR="00BC1FDD" w:rsidRDefault="00BC1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harterBT-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8B7CA" w14:textId="77777777" w:rsidR="00BC1FDD" w:rsidRDefault="00BC1FD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EF9340" w14:textId="77777777" w:rsidR="00BC1FDD" w:rsidRDefault="00BC1F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340DF" w14:textId="5BA682C5" w:rsidR="00BC1FDD" w:rsidRDefault="00BC1FD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6720">
      <w:rPr>
        <w:rStyle w:val="PageNumber"/>
        <w:noProof/>
      </w:rPr>
      <w:t>19</w:t>
    </w:r>
    <w:r>
      <w:rPr>
        <w:rStyle w:val="PageNumber"/>
      </w:rPr>
      <w:fldChar w:fldCharType="end"/>
    </w:r>
  </w:p>
  <w:p w14:paraId="089C83BB" w14:textId="77777777" w:rsidR="00BC1FDD" w:rsidRDefault="00BC1FD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55D9F" w14:textId="77777777" w:rsidR="00970A09" w:rsidRDefault="00970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75705" w14:textId="77777777" w:rsidR="00BC1FDD" w:rsidRDefault="00BC1FDD">
      <w:r>
        <w:separator/>
      </w:r>
    </w:p>
  </w:footnote>
  <w:footnote w:type="continuationSeparator" w:id="0">
    <w:p w14:paraId="3818F571" w14:textId="77777777" w:rsidR="00BC1FDD" w:rsidRDefault="00BC1FDD">
      <w:r>
        <w:continuationSeparator/>
      </w:r>
    </w:p>
  </w:footnote>
  <w:footnote w:type="continuationNotice" w:id="1">
    <w:p w14:paraId="20A929DA" w14:textId="77777777" w:rsidR="00BC1FDD" w:rsidRDefault="00BC1FDD"/>
  </w:footnote>
  <w:footnote w:id="2">
    <w:p w14:paraId="30011F3B" w14:textId="77777777" w:rsidR="00BC1FDD" w:rsidRPr="00A83B1D" w:rsidRDefault="00BC1FDD">
      <w:pPr>
        <w:pStyle w:val="FootnoteText"/>
        <w:rPr>
          <w:color w:val="000000" w:themeColor="text1"/>
          <w:sz w:val="18"/>
          <w:szCs w:val="18"/>
          <w:lang w:val="en-AU"/>
        </w:rPr>
      </w:pPr>
      <w:r w:rsidRPr="00820535">
        <w:rPr>
          <w:rStyle w:val="FootnoteReference"/>
          <w:sz w:val="18"/>
          <w:szCs w:val="18"/>
        </w:rPr>
        <w:footnoteRef/>
      </w:r>
      <w:r w:rsidRPr="00820535">
        <w:rPr>
          <w:sz w:val="18"/>
          <w:szCs w:val="18"/>
        </w:rPr>
        <w:t xml:space="preserve"> </w:t>
      </w:r>
      <w:hyperlink r:id="rId1" w:history="1">
        <w:r w:rsidRPr="0054213B">
          <w:rPr>
            <w:rStyle w:val="Hyperlink"/>
            <w:sz w:val="18"/>
            <w:szCs w:val="18"/>
          </w:rPr>
          <w:t>http://www.foodstandards.gov.au/code/applications/Pages/A1143-DHA-Canola-Line-NS–B500274.aspx</w:t>
        </w:r>
      </w:hyperlink>
      <w:r>
        <w:rPr>
          <w:sz w:val="18"/>
          <w:szCs w:val="18"/>
        </w:rPr>
        <w:t xml:space="preserve"> </w:t>
      </w:r>
    </w:p>
  </w:footnote>
  <w:footnote w:id="3">
    <w:p w14:paraId="2A8A8AA7" w14:textId="77777777" w:rsidR="00BC1FDD" w:rsidRPr="00735A36" w:rsidRDefault="00BC1FDD" w:rsidP="00647936">
      <w:pPr>
        <w:pStyle w:val="FootnoteText"/>
        <w:rPr>
          <w:lang w:val="en-AU"/>
        </w:rPr>
      </w:pPr>
      <w:r>
        <w:rPr>
          <w:rStyle w:val="FootnoteReference"/>
        </w:rPr>
        <w:footnoteRef/>
      </w:r>
      <w:r>
        <w:t xml:space="preserve"> </w:t>
      </w:r>
      <w:hyperlink r:id="rId2" w:history="1">
        <w:r w:rsidRPr="00C802AA">
          <w:rPr>
            <w:rStyle w:val="Hyperlink"/>
          </w:rPr>
          <w:t>https://www.legislation.gov.au/Series/F2015L00409</w:t>
        </w:r>
      </w:hyperlink>
      <w:r>
        <w:t xml:space="preserve"> </w:t>
      </w:r>
    </w:p>
  </w:footnote>
  <w:footnote w:id="4">
    <w:p w14:paraId="2195677B" w14:textId="77777777" w:rsidR="00BC1FDD" w:rsidRPr="00BD681B" w:rsidRDefault="00BC1FDD" w:rsidP="00647936">
      <w:pPr>
        <w:pStyle w:val="FootnoteText"/>
        <w:rPr>
          <w:sz w:val="18"/>
          <w:lang w:val="en-AU"/>
        </w:rPr>
      </w:pPr>
      <w:r w:rsidRPr="00BD681B">
        <w:rPr>
          <w:rStyle w:val="FootnoteReference"/>
          <w:sz w:val="18"/>
        </w:rPr>
        <w:footnoteRef/>
      </w:r>
      <w:r w:rsidRPr="00BD681B">
        <w:rPr>
          <w:sz w:val="18"/>
        </w:rPr>
        <w:t xml:space="preserve"> </w:t>
      </w:r>
      <w:hyperlink r:id="rId3" w:history="1">
        <w:r w:rsidRPr="00BD681B">
          <w:rPr>
            <w:rStyle w:val="Hyperlink"/>
            <w:sz w:val="18"/>
          </w:rPr>
          <w:t>http://www.foodstandards.gov.au/code/fofr/fofrpolicy/pages/default.aspx</w:t>
        </w:r>
      </w:hyperlink>
      <w:r w:rsidRPr="00BD681B">
        <w:rPr>
          <w:sz w:val="18"/>
        </w:rPr>
        <w:t xml:space="preserve"> </w:t>
      </w:r>
    </w:p>
  </w:footnote>
  <w:footnote w:id="5">
    <w:p w14:paraId="3617DF38" w14:textId="77777777" w:rsidR="00BC1FDD" w:rsidRPr="009549B7" w:rsidRDefault="00BC1FDD" w:rsidP="00D728FF">
      <w:pPr>
        <w:pStyle w:val="FootnoteText"/>
        <w:rPr>
          <w:szCs w:val="18"/>
          <w:lang w:val="en-AU"/>
        </w:rPr>
      </w:pPr>
      <w:r w:rsidRPr="003A21BA">
        <w:rPr>
          <w:rStyle w:val="FootnoteReference"/>
          <w:sz w:val="18"/>
        </w:rPr>
        <w:footnoteRef/>
      </w:r>
      <w:r w:rsidRPr="003A21BA">
        <w:rPr>
          <w:sz w:val="18"/>
        </w:rPr>
        <w:t xml:space="preserve"> </w:t>
      </w:r>
      <w:r w:rsidRPr="003A21BA">
        <w:rPr>
          <w:sz w:val="18"/>
          <w:szCs w:val="18"/>
          <w:lang w:val="en-AU"/>
        </w:rPr>
        <w:t>Now known as the Implementation Subcommittee for Food Regulation</w:t>
      </w:r>
    </w:p>
  </w:footnote>
  <w:footnote w:id="6">
    <w:p w14:paraId="5BF11842" w14:textId="77777777" w:rsidR="00BC1FDD" w:rsidRPr="00E70572" w:rsidRDefault="00BC1FDD" w:rsidP="00E469AA">
      <w:pPr>
        <w:pStyle w:val="FootnoteText"/>
        <w:rPr>
          <w:lang w:val="en-AU"/>
        </w:rPr>
      </w:pPr>
      <w:r w:rsidRPr="007145F9">
        <w:rPr>
          <w:rStyle w:val="FootnoteReference"/>
          <w:sz w:val="18"/>
        </w:rPr>
        <w:footnoteRef/>
      </w:r>
      <w:r w:rsidRPr="007145F9">
        <w:rPr>
          <w:sz w:val="18"/>
        </w:rPr>
        <w:t xml:space="preserve"> </w:t>
      </w:r>
      <w:hyperlink r:id="rId4" w:history="1">
        <w:r w:rsidRPr="007145F9">
          <w:rPr>
            <w:rStyle w:val="Hyperlink"/>
            <w:sz w:val="18"/>
          </w:rPr>
          <w:t>http://www.foodstandards.gov.au/code/changes/pages/applicationshandbook.aspx</w:t>
        </w:r>
      </w:hyperlink>
      <w:r w:rsidRPr="007145F9">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E1CBC" w14:textId="77777777" w:rsidR="00970A09" w:rsidRDefault="00970A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8433D" w14:textId="11756A17" w:rsidR="00BC1FDD" w:rsidRPr="00970A09" w:rsidRDefault="00BC1FDD" w:rsidP="00970A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399AE" w14:textId="77777777" w:rsidR="00BC1FDD" w:rsidRDefault="00BC1FDD">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71541E"/>
    <w:multiLevelType w:val="hybridMultilevel"/>
    <w:tmpl w:val="B39C1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010606D"/>
    <w:multiLevelType w:val="hybridMultilevel"/>
    <w:tmpl w:val="51E088AE"/>
    <w:lvl w:ilvl="0" w:tplc="C034FC4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AB70F40"/>
    <w:multiLevelType w:val="hybridMultilevel"/>
    <w:tmpl w:val="7902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A210A2"/>
    <w:multiLevelType w:val="hybridMultilevel"/>
    <w:tmpl w:val="9A4C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CBD36CE"/>
    <w:multiLevelType w:val="hybridMultilevel"/>
    <w:tmpl w:val="4838E730"/>
    <w:lvl w:ilvl="0" w:tplc="B4DA9F12">
      <w:start w:val="1"/>
      <w:numFmt w:val="bullet"/>
      <w:pStyle w:val="FSBullet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nsid w:val="67847983"/>
    <w:multiLevelType w:val="hybridMultilevel"/>
    <w:tmpl w:val="D018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nsid w:val="7A8E5F97"/>
    <w:multiLevelType w:val="hybridMultilevel"/>
    <w:tmpl w:val="C4F44E9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num w:numId="1">
    <w:abstractNumId w:val="1"/>
  </w:num>
  <w:num w:numId="2">
    <w:abstractNumId w:val="11"/>
  </w:num>
  <w:num w:numId="3">
    <w:abstractNumId w:val="0"/>
  </w:num>
  <w:num w:numId="4">
    <w:abstractNumId w:val="1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10"/>
  </w:num>
  <w:num w:numId="9">
    <w:abstractNumId w:val="4"/>
  </w:num>
  <w:num w:numId="10">
    <w:abstractNumId w:val="5"/>
  </w:num>
  <w:num w:numId="11">
    <w:abstractNumId w:val="8"/>
  </w:num>
  <w:num w:numId="12">
    <w:abstractNumId w:val="3"/>
  </w:num>
  <w:num w:numId="13">
    <w:abstractNumId w:val="13"/>
  </w:num>
  <w:num w:numId="14">
    <w:abstractNumId w:val="2"/>
  </w:num>
  <w:num w:numId="15">
    <w:abstractNumId w:val="6"/>
  </w:num>
  <w:num w:numId="16">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itta">
    <w15:presenceInfo w15:providerId="None" w15:userId="trit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5E1"/>
    <w:rsid w:val="00001CF2"/>
    <w:rsid w:val="0000247B"/>
    <w:rsid w:val="00003BE8"/>
    <w:rsid w:val="00004274"/>
    <w:rsid w:val="0000469B"/>
    <w:rsid w:val="00005538"/>
    <w:rsid w:val="00012720"/>
    <w:rsid w:val="000129E8"/>
    <w:rsid w:val="00016CB6"/>
    <w:rsid w:val="0002143F"/>
    <w:rsid w:val="00022DBC"/>
    <w:rsid w:val="00023A0A"/>
    <w:rsid w:val="00024615"/>
    <w:rsid w:val="00024903"/>
    <w:rsid w:val="00025A4E"/>
    <w:rsid w:val="00034F87"/>
    <w:rsid w:val="00035FF3"/>
    <w:rsid w:val="000427B2"/>
    <w:rsid w:val="000427ED"/>
    <w:rsid w:val="00051021"/>
    <w:rsid w:val="00051ED9"/>
    <w:rsid w:val="00052454"/>
    <w:rsid w:val="000564DE"/>
    <w:rsid w:val="00057181"/>
    <w:rsid w:val="00061087"/>
    <w:rsid w:val="00063FCB"/>
    <w:rsid w:val="00064B2D"/>
    <w:rsid w:val="00064C54"/>
    <w:rsid w:val="00065F1F"/>
    <w:rsid w:val="00066291"/>
    <w:rsid w:val="00072EEC"/>
    <w:rsid w:val="000735FD"/>
    <w:rsid w:val="0007383E"/>
    <w:rsid w:val="0007466A"/>
    <w:rsid w:val="00076D2F"/>
    <w:rsid w:val="00076D33"/>
    <w:rsid w:val="000778D6"/>
    <w:rsid w:val="000877DD"/>
    <w:rsid w:val="00091CC2"/>
    <w:rsid w:val="000A16F3"/>
    <w:rsid w:val="000A27E9"/>
    <w:rsid w:val="000A3D8B"/>
    <w:rsid w:val="000A5DF8"/>
    <w:rsid w:val="000B6AF2"/>
    <w:rsid w:val="000C0BD9"/>
    <w:rsid w:val="000C190F"/>
    <w:rsid w:val="000C1A6D"/>
    <w:rsid w:val="000C3948"/>
    <w:rsid w:val="000C412C"/>
    <w:rsid w:val="000C712F"/>
    <w:rsid w:val="000D295F"/>
    <w:rsid w:val="000D6FD4"/>
    <w:rsid w:val="000E0AE4"/>
    <w:rsid w:val="000E3DBC"/>
    <w:rsid w:val="000E7ABE"/>
    <w:rsid w:val="000F3068"/>
    <w:rsid w:val="00103993"/>
    <w:rsid w:val="001067EE"/>
    <w:rsid w:val="0011238A"/>
    <w:rsid w:val="00113CE3"/>
    <w:rsid w:val="00117522"/>
    <w:rsid w:val="001220D0"/>
    <w:rsid w:val="001232ED"/>
    <w:rsid w:val="00127BFB"/>
    <w:rsid w:val="00133C6E"/>
    <w:rsid w:val="001354FF"/>
    <w:rsid w:val="00137447"/>
    <w:rsid w:val="00140139"/>
    <w:rsid w:val="0014327D"/>
    <w:rsid w:val="00143437"/>
    <w:rsid w:val="00145953"/>
    <w:rsid w:val="00146D47"/>
    <w:rsid w:val="00151550"/>
    <w:rsid w:val="001542D8"/>
    <w:rsid w:val="00154519"/>
    <w:rsid w:val="0016047C"/>
    <w:rsid w:val="00173565"/>
    <w:rsid w:val="00173E26"/>
    <w:rsid w:val="00174F4E"/>
    <w:rsid w:val="00175E19"/>
    <w:rsid w:val="00180C41"/>
    <w:rsid w:val="00182C4C"/>
    <w:rsid w:val="00186BD1"/>
    <w:rsid w:val="001920B7"/>
    <w:rsid w:val="0019306E"/>
    <w:rsid w:val="00195254"/>
    <w:rsid w:val="00197D8D"/>
    <w:rsid w:val="001A1A75"/>
    <w:rsid w:val="001A7E9A"/>
    <w:rsid w:val="001B00F3"/>
    <w:rsid w:val="001B3464"/>
    <w:rsid w:val="001C27A3"/>
    <w:rsid w:val="001C282C"/>
    <w:rsid w:val="001C349E"/>
    <w:rsid w:val="001C3D2F"/>
    <w:rsid w:val="001C5295"/>
    <w:rsid w:val="001D02DE"/>
    <w:rsid w:val="001D0405"/>
    <w:rsid w:val="001D128A"/>
    <w:rsid w:val="001D4331"/>
    <w:rsid w:val="001D643E"/>
    <w:rsid w:val="001E09FA"/>
    <w:rsid w:val="001E51B6"/>
    <w:rsid w:val="001F2D8A"/>
    <w:rsid w:val="001F2F61"/>
    <w:rsid w:val="001F5B9C"/>
    <w:rsid w:val="001F6652"/>
    <w:rsid w:val="001F719F"/>
    <w:rsid w:val="001F74B2"/>
    <w:rsid w:val="00203540"/>
    <w:rsid w:val="00221D07"/>
    <w:rsid w:val="00223936"/>
    <w:rsid w:val="002245F0"/>
    <w:rsid w:val="00227E4A"/>
    <w:rsid w:val="00233B21"/>
    <w:rsid w:val="00236D43"/>
    <w:rsid w:val="00237A86"/>
    <w:rsid w:val="00241911"/>
    <w:rsid w:val="002432EE"/>
    <w:rsid w:val="0024582E"/>
    <w:rsid w:val="0025065D"/>
    <w:rsid w:val="002547EF"/>
    <w:rsid w:val="00254A62"/>
    <w:rsid w:val="00256D65"/>
    <w:rsid w:val="00261166"/>
    <w:rsid w:val="00262EBA"/>
    <w:rsid w:val="00271F00"/>
    <w:rsid w:val="0027313C"/>
    <w:rsid w:val="00273A80"/>
    <w:rsid w:val="0027513D"/>
    <w:rsid w:val="00276026"/>
    <w:rsid w:val="002805A3"/>
    <w:rsid w:val="00280EC8"/>
    <w:rsid w:val="00281FB7"/>
    <w:rsid w:val="0028366E"/>
    <w:rsid w:val="0028442D"/>
    <w:rsid w:val="002851C8"/>
    <w:rsid w:val="00286AAE"/>
    <w:rsid w:val="002879BE"/>
    <w:rsid w:val="00291DBF"/>
    <w:rsid w:val="0029204E"/>
    <w:rsid w:val="00294BAD"/>
    <w:rsid w:val="0029631C"/>
    <w:rsid w:val="002A0194"/>
    <w:rsid w:val="002A5F8B"/>
    <w:rsid w:val="002A7F6C"/>
    <w:rsid w:val="002B0D8E"/>
    <w:rsid w:val="002B32B0"/>
    <w:rsid w:val="002B667B"/>
    <w:rsid w:val="002B7ED0"/>
    <w:rsid w:val="002C2A40"/>
    <w:rsid w:val="002C42BE"/>
    <w:rsid w:val="002C4A91"/>
    <w:rsid w:val="002D5A90"/>
    <w:rsid w:val="002D61D1"/>
    <w:rsid w:val="002D6809"/>
    <w:rsid w:val="002E086A"/>
    <w:rsid w:val="002E15A4"/>
    <w:rsid w:val="002E6C70"/>
    <w:rsid w:val="002F23C9"/>
    <w:rsid w:val="002F6488"/>
    <w:rsid w:val="002F6B6B"/>
    <w:rsid w:val="002F7AC2"/>
    <w:rsid w:val="0030279C"/>
    <w:rsid w:val="00310E84"/>
    <w:rsid w:val="00314FF6"/>
    <w:rsid w:val="00315A71"/>
    <w:rsid w:val="003213F9"/>
    <w:rsid w:val="00323DBF"/>
    <w:rsid w:val="003309A8"/>
    <w:rsid w:val="00332B12"/>
    <w:rsid w:val="00332D44"/>
    <w:rsid w:val="003334E6"/>
    <w:rsid w:val="0033470E"/>
    <w:rsid w:val="00334BCE"/>
    <w:rsid w:val="00334D65"/>
    <w:rsid w:val="00336711"/>
    <w:rsid w:val="003376D9"/>
    <w:rsid w:val="0034122C"/>
    <w:rsid w:val="003449CB"/>
    <w:rsid w:val="003458DF"/>
    <w:rsid w:val="00347935"/>
    <w:rsid w:val="00350DBD"/>
    <w:rsid w:val="0035108B"/>
    <w:rsid w:val="00351927"/>
    <w:rsid w:val="00351B07"/>
    <w:rsid w:val="003617FE"/>
    <w:rsid w:val="0036268A"/>
    <w:rsid w:val="00364841"/>
    <w:rsid w:val="00367F2F"/>
    <w:rsid w:val="00370445"/>
    <w:rsid w:val="00371B29"/>
    <w:rsid w:val="00372182"/>
    <w:rsid w:val="00373C1A"/>
    <w:rsid w:val="0037520F"/>
    <w:rsid w:val="003760CB"/>
    <w:rsid w:val="00380E7F"/>
    <w:rsid w:val="00391769"/>
    <w:rsid w:val="003928B6"/>
    <w:rsid w:val="003953E1"/>
    <w:rsid w:val="003956B3"/>
    <w:rsid w:val="003A417D"/>
    <w:rsid w:val="003A55E8"/>
    <w:rsid w:val="003A68BE"/>
    <w:rsid w:val="003A7725"/>
    <w:rsid w:val="003A79FF"/>
    <w:rsid w:val="003B3C9D"/>
    <w:rsid w:val="003B78E0"/>
    <w:rsid w:val="003C2DCF"/>
    <w:rsid w:val="003C4969"/>
    <w:rsid w:val="003C661E"/>
    <w:rsid w:val="003D6DDA"/>
    <w:rsid w:val="003E31A5"/>
    <w:rsid w:val="003E41D5"/>
    <w:rsid w:val="003E46BA"/>
    <w:rsid w:val="003E586F"/>
    <w:rsid w:val="003E7D22"/>
    <w:rsid w:val="003F16E3"/>
    <w:rsid w:val="003F3459"/>
    <w:rsid w:val="003F74C1"/>
    <w:rsid w:val="003F7FBB"/>
    <w:rsid w:val="00404A92"/>
    <w:rsid w:val="00405939"/>
    <w:rsid w:val="00405B1A"/>
    <w:rsid w:val="00407241"/>
    <w:rsid w:val="0040761E"/>
    <w:rsid w:val="00407DF4"/>
    <w:rsid w:val="00407E50"/>
    <w:rsid w:val="00410C76"/>
    <w:rsid w:val="00411907"/>
    <w:rsid w:val="004136A6"/>
    <w:rsid w:val="00413CA8"/>
    <w:rsid w:val="00415671"/>
    <w:rsid w:val="00417EE3"/>
    <w:rsid w:val="004207EB"/>
    <w:rsid w:val="00420830"/>
    <w:rsid w:val="00435FA5"/>
    <w:rsid w:val="00436B8D"/>
    <w:rsid w:val="00437276"/>
    <w:rsid w:val="00443492"/>
    <w:rsid w:val="00445B90"/>
    <w:rsid w:val="00447E67"/>
    <w:rsid w:val="0045556F"/>
    <w:rsid w:val="00456B54"/>
    <w:rsid w:val="0046069B"/>
    <w:rsid w:val="0046317A"/>
    <w:rsid w:val="00464643"/>
    <w:rsid w:val="004646F8"/>
    <w:rsid w:val="00476F5A"/>
    <w:rsid w:val="00481AFD"/>
    <w:rsid w:val="00482E0C"/>
    <w:rsid w:val="004862E1"/>
    <w:rsid w:val="00486793"/>
    <w:rsid w:val="0048722E"/>
    <w:rsid w:val="00491407"/>
    <w:rsid w:val="0049729B"/>
    <w:rsid w:val="004A2037"/>
    <w:rsid w:val="004A3685"/>
    <w:rsid w:val="004A3EB3"/>
    <w:rsid w:val="004A4E4C"/>
    <w:rsid w:val="004A7397"/>
    <w:rsid w:val="004C2CE7"/>
    <w:rsid w:val="004C3F78"/>
    <w:rsid w:val="004D30A6"/>
    <w:rsid w:val="004D44F8"/>
    <w:rsid w:val="004D6BBF"/>
    <w:rsid w:val="004D7B77"/>
    <w:rsid w:val="004E0AE4"/>
    <w:rsid w:val="004E4238"/>
    <w:rsid w:val="004E6D52"/>
    <w:rsid w:val="004E7433"/>
    <w:rsid w:val="004F4F98"/>
    <w:rsid w:val="004F69F6"/>
    <w:rsid w:val="004F79AC"/>
    <w:rsid w:val="005017CF"/>
    <w:rsid w:val="00507187"/>
    <w:rsid w:val="00512290"/>
    <w:rsid w:val="00513C20"/>
    <w:rsid w:val="00515570"/>
    <w:rsid w:val="00516720"/>
    <w:rsid w:val="005207D8"/>
    <w:rsid w:val="005213DC"/>
    <w:rsid w:val="00521F70"/>
    <w:rsid w:val="00524C88"/>
    <w:rsid w:val="00525781"/>
    <w:rsid w:val="0052649E"/>
    <w:rsid w:val="00530399"/>
    <w:rsid w:val="0053291C"/>
    <w:rsid w:val="0053464E"/>
    <w:rsid w:val="00534F0D"/>
    <w:rsid w:val="005358B0"/>
    <w:rsid w:val="00542E40"/>
    <w:rsid w:val="005538BC"/>
    <w:rsid w:val="00553969"/>
    <w:rsid w:val="00555EBE"/>
    <w:rsid w:val="00556640"/>
    <w:rsid w:val="00556B0D"/>
    <w:rsid w:val="00556B4A"/>
    <w:rsid w:val="005576E9"/>
    <w:rsid w:val="00562917"/>
    <w:rsid w:val="00564ABD"/>
    <w:rsid w:val="0057280F"/>
    <w:rsid w:val="005728D5"/>
    <w:rsid w:val="005735C1"/>
    <w:rsid w:val="00580B79"/>
    <w:rsid w:val="00580BE5"/>
    <w:rsid w:val="00584632"/>
    <w:rsid w:val="00585F26"/>
    <w:rsid w:val="00586228"/>
    <w:rsid w:val="0059227F"/>
    <w:rsid w:val="0059314C"/>
    <w:rsid w:val="00593BED"/>
    <w:rsid w:val="00594338"/>
    <w:rsid w:val="005943BD"/>
    <w:rsid w:val="0059498B"/>
    <w:rsid w:val="00595919"/>
    <w:rsid w:val="005A3A03"/>
    <w:rsid w:val="005B01E7"/>
    <w:rsid w:val="005B064D"/>
    <w:rsid w:val="005B0977"/>
    <w:rsid w:val="005B615C"/>
    <w:rsid w:val="005B6686"/>
    <w:rsid w:val="005B6AF4"/>
    <w:rsid w:val="005C04CB"/>
    <w:rsid w:val="005C5D32"/>
    <w:rsid w:val="005C71BA"/>
    <w:rsid w:val="005C7CE5"/>
    <w:rsid w:val="005D16AD"/>
    <w:rsid w:val="005D511B"/>
    <w:rsid w:val="005D69E8"/>
    <w:rsid w:val="005D72E1"/>
    <w:rsid w:val="005E2F53"/>
    <w:rsid w:val="005E6E16"/>
    <w:rsid w:val="005E770D"/>
    <w:rsid w:val="005F2156"/>
    <w:rsid w:val="005F2761"/>
    <w:rsid w:val="005F400E"/>
    <w:rsid w:val="005F7342"/>
    <w:rsid w:val="005F7E18"/>
    <w:rsid w:val="00603A08"/>
    <w:rsid w:val="006066BC"/>
    <w:rsid w:val="00606C88"/>
    <w:rsid w:val="00610A3C"/>
    <w:rsid w:val="0061232D"/>
    <w:rsid w:val="0061545F"/>
    <w:rsid w:val="006211CD"/>
    <w:rsid w:val="0062163E"/>
    <w:rsid w:val="00627F48"/>
    <w:rsid w:val="00633ACA"/>
    <w:rsid w:val="006342E0"/>
    <w:rsid w:val="00634F2E"/>
    <w:rsid w:val="00642A47"/>
    <w:rsid w:val="00646FDD"/>
    <w:rsid w:val="00647936"/>
    <w:rsid w:val="00655B65"/>
    <w:rsid w:val="006561F2"/>
    <w:rsid w:val="00663FCF"/>
    <w:rsid w:val="006652A2"/>
    <w:rsid w:val="00672D94"/>
    <w:rsid w:val="00674E11"/>
    <w:rsid w:val="00681754"/>
    <w:rsid w:val="00681D53"/>
    <w:rsid w:val="00683E69"/>
    <w:rsid w:val="00685269"/>
    <w:rsid w:val="00691356"/>
    <w:rsid w:val="006937FF"/>
    <w:rsid w:val="00695935"/>
    <w:rsid w:val="006965BF"/>
    <w:rsid w:val="006A0198"/>
    <w:rsid w:val="006A48A7"/>
    <w:rsid w:val="006B2F9D"/>
    <w:rsid w:val="006B4BA1"/>
    <w:rsid w:val="006C28E2"/>
    <w:rsid w:val="006C5CF5"/>
    <w:rsid w:val="006D1465"/>
    <w:rsid w:val="006E0AAD"/>
    <w:rsid w:val="006E511E"/>
    <w:rsid w:val="006E527D"/>
    <w:rsid w:val="006E5E0A"/>
    <w:rsid w:val="006E73CC"/>
    <w:rsid w:val="006F026E"/>
    <w:rsid w:val="006F16E7"/>
    <w:rsid w:val="006F17A0"/>
    <w:rsid w:val="006F3F10"/>
    <w:rsid w:val="006F4A82"/>
    <w:rsid w:val="006F6563"/>
    <w:rsid w:val="00700239"/>
    <w:rsid w:val="00701964"/>
    <w:rsid w:val="0070373B"/>
    <w:rsid w:val="0070660D"/>
    <w:rsid w:val="00707E72"/>
    <w:rsid w:val="007113EB"/>
    <w:rsid w:val="00717608"/>
    <w:rsid w:val="0072150F"/>
    <w:rsid w:val="007226EF"/>
    <w:rsid w:val="00724FA4"/>
    <w:rsid w:val="0072554E"/>
    <w:rsid w:val="0072651A"/>
    <w:rsid w:val="00726C2F"/>
    <w:rsid w:val="00730486"/>
    <w:rsid w:val="00730800"/>
    <w:rsid w:val="007368AB"/>
    <w:rsid w:val="00737902"/>
    <w:rsid w:val="00741EFE"/>
    <w:rsid w:val="00742506"/>
    <w:rsid w:val="00742C4E"/>
    <w:rsid w:val="00742FE5"/>
    <w:rsid w:val="00750DEC"/>
    <w:rsid w:val="00752037"/>
    <w:rsid w:val="007559E1"/>
    <w:rsid w:val="00755C36"/>
    <w:rsid w:val="00757C5D"/>
    <w:rsid w:val="00760016"/>
    <w:rsid w:val="007602AA"/>
    <w:rsid w:val="007652EF"/>
    <w:rsid w:val="00772BDC"/>
    <w:rsid w:val="00773033"/>
    <w:rsid w:val="00775FBB"/>
    <w:rsid w:val="0077714D"/>
    <w:rsid w:val="00780792"/>
    <w:rsid w:val="00783690"/>
    <w:rsid w:val="007A44B4"/>
    <w:rsid w:val="007A514E"/>
    <w:rsid w:val="007A69D8"/>
    <w:rsid w:val="007A7D3D"/>
    <w:rsid w:val="007B144E"/>
    <w:rsid w:val="007B225D"/>
    <w:rsid w:val="007B578F"/>
    <w:rsid w:val="007C174F"/>
    <w:rsid w:val="007C1C64"/>
    <w:rsid w:val="007C23D8"/>
    <w:rsid w:val="007C76BC"/>
    <w:rsid w:val="007D1BBD"/>
    <w:rsid w:val="007D40A1"/>
    <w:rsid w:val="007D4EB1"/>
    <w:rsid w:val="007D56E3"/>
    <w:rsid w:val="007E40BE"/>
    <w:rsid w:val="007E48BC"/>
    <w:rsid w:val="007E79F7"/>
    <w:rsid w:val="007F0569"/>
    <w:rsid w:val="007F2AAB"/>
    <w:rsid w:val="007F2E3B"/>
    <w:rsid w:val="007F315B"/>
    <w:rsid w:val="007F3630"/>
    <w:rsid w:val="00807559"/>
    <w:rsid w:val="00807BEF"/>
    <w:rsid w:val="00810E2C"/>
    <w:rsid w:val="00817064"/>
    <w:rsid w:val="00820535"/>
    <w:rsid w:val="008278AF"/>
    <w:rsid w:val="008324D0"/>
    <w:rsid w:val="00840975"/>
    <w:rsid w:val="008443E2"/>
    <w:rsid w:val="008450BC"/>
    <w:rsid w:val="00851A60"/>
    <w:rsid w:val="0085239E"/>
    <w:rsid w:val="0085334B"/>
    <w:rsid w:val="00856657"/>
    <w:rsid w:val="00860146"/>
    <w:rsid w:val="008641EF"/>
    <w:rsid w:val="00864497"/>
    <w:rsid w:val="00867B23"/>
    <w:rsid w:val="00870214"/>
    <w:rsid w:val="00871337"/>
    <w:rsid w:val="0087508A"/>
    <w:rsid w:val="00876515"/>
    <w:rsid w:val="0087773C"/>
    <w:rsid w:val="008828D9"/>
    <w:rsid w:val="00885C51"/>
    <w:rsid w:val="00885EB0"/>
    <w:rsid w:val="00886D08"/>
    <w:rsid w:val="00890E6A"/>
    <w:rsid w:val="0089245E"/>
    <w:rsid w:val="0089264A"/>
    <w:rsid w:val="00896B85"/>
    <w:rsid w:val="00897554"/>
    <w:rsid w:val="008979A3"/>
    <w:rsid w:val="008A22BE"/>
    <w:rsid w:val="008A3221"/>
    <w:rsid w:val="008A342B"/>
    <w:rsid w:val="008A35FB"/>
    <w:rsid w:val="008A37DB"/>
    <w:rsid w:val="008B0075"/>
    <w:rsid w:val="008B1260"/>
    <w:rsid w:val="008B5567"/>
    <w:rsid w:val="008B694D"/>
    <w:rsid w:val="008C0E7A"/>
    <w:rsid w:val="008C1B36"/>
    <w:rsid w:val="008C76E2"/>
    <w:rsid w:val="008D06C6"/>
    <w:rsid w:val="008D57B2"/>
    <w:rsid w:val="008E6250"/>
    <w:rsid w:val="008F40A2"/>
    <w:rsid w:val="00901EF6"/>
    <w:rsid w:val="00902740"/>
    <w:rsid w:val="00902AF6"/>
    <w:rsid w:val="009047A9"/>
    <w:rsid w:val="00912720"/>
    <w:rsid w:val="00912A18"/>
    <w:rsid w:val="00914030"/>
    <w:rsid w:val="00914A70"/>
    <w:rsid w:val="009154D9"/>
    <w:rsid w:val="009201B6"/>
    <w:rsid w:val="00920249"/>
    <w:rsid w:val="00924C80"/>
    <w:rsid w:val="00932F14"/>
    <w:rsid w:val="009342E4"/>
    <w:rsid w:val="0094247F"/>
    <w:rsid w:val="00942D60"/>
    <w:rsid w:val="00944BA4"/>
    <w:rsid w:val="00945294"/>
    <w:rsid w:val="00952EF6"/>
    <w:rsid w:val="00964E5C"/>
    <w:rsid w:val="0096523B"/>
    <w:rsid w:val="00965C5A"/>
    <w:rsid w:val="00966EE3"/>
    <w:rsid w:val="00970A09"/>
    <w:rsid w:val="00972B32"/>
    <w:rsid w:val="00972D06"/>
    <w:rsid w:val="009973BA"/>
    <w:rsid w:val="009A094D"/>
    <w:rsid w:val="009A371B"/>
    <w:rsid w:val="009A391C"/>
    <w:rsid w:val="009A50F2"/>
    <w:rsid w:val="009B187A"/>
    <w:rsid w:val="009B29B1"/>
    <w:rsid w:val="009B449B"/>
    <w:rsid w:val="009B491A"/>
    <w:rsid w:val="009B4C1A"/>
    <w:rsid w:val="009B7FC2"/>
    <w:rsid w:val="009C3EF3"/>
    <w:rsid w:val="009C4322"/>
    <w:rsid w:val="009C6BC1"/>
    <w:rsid w:val="009D657C"/>
    <w:rsid w:val="009D790B"/>
    <w:rsid w:val="009E0A61"/>
    <w:rsid w:val="009E3010"/>
    <w:rsid w:val="009E50AB"/>
    <w:rsid w:val="009F007E"/>
    <w:rsid w:val="009F177A"/>
    <w:rsid w:val="009F1BCF"/>
    <w:rsid w:val="009F3CCF"/>
    <w:rsid w:val="009F3FA5"/>
    <w:rsid w:val="009F7065"/>
    <w:rsid w:val="009F76BF"/>
    <w:rsid w:val="00A07425"/>
    <w:rsid w:val="00A12B44"/>
    <w:rsid w:val="00A22C0B"/>
    <w:rsid w:val="00A252B7"/>
    <w:rsid w:val="00A31F36"/>
    <w:rsid w:val="00A40193"/>
    <w:rsid w:val="00A4175D"/>
    <w:rsid w:val="00A47347"/>
    <w:rsid w:val="00A47BF1"/>
    <w:rsid w:val="00A52B5F"/>
    <w:rsid w:val="00A54934"/>
    <w:rsid w:val="00A56DC7"/>
    <w:rsid w:val="00A56E34"/>
    <w:rsid w:val="00A628DF"/>
    <w:rsid w:val="00A725C7"/>
    <w:rsid w:val="00A74FD1"/>
    <w:rsid w:val="00A83B1D"/>
    <w:rsid w:val="00A84A58"/>
    <w:rsid w:val="00A90964"/>
    <w:rsid w:val="00A91978"/>
    <w:rsid w:val="00A91DB3"/>
    <w:rsid w:val="00A91DF1"/>
    <w:rsid w:val="00A944BE"/>
    <w:rsid w:val="00AA4DA7"/>
    <w:rsid w:val="00AB0275"/>
    <w:rsid w:val="00AB4C33"/>
    <w:rsid w:val="00AC0F23"/>
    <w:rsid w:val="00AC64BD"/>
    <w:rsid w:val="00AC6DC0"/>
    <w:rsid w:val="00AC74CB"/>
    <w:rsid w:val="00AD22F9"/>
    <w:rsid w:val="00AD7A3D"/>
    <w:rsid w:val="00AE4E6E"/>
    <w:rsid w:val="00AE5001"/>
    <w:rsid w:val="00AE552E"/>
    <w:rsid w:val="00AE766D"/>
    <w:rsid w:val="00AF06FC"/>
    <w:rsid w:val="00AF18D3"/>
    <w:rsid w:val="00AF249A"/>
    <w:rsid w:val="00AF3391"/>
    <w:rsid w:val="00AF387F"/>
    <w:rsid w:val="00AF426F"/>
    <w:rsid w:val="00AF602C"/>
    <w:rsid w:val="00B00E7F"/>
    <w:rsid w:val="00B02C09"/>
    <w:rsid w:val="00B0440C"/>
    <w:rsid w:val="00B074E9"/>
    <w:rsid w:val="00B173DA"/>
    <w:rsid w:val="00B20E17"/>
    <w:rsid w:val="00B21DCC"/>
    <w:rsid w:val="00B228A3"/>
    <w:rsid w:val="00B24E22"/>
    <w:rsid w:val="00B25F37"/>
    <w:rsid w:val="00B270B3"/>
    <w:rsid w:val="00B27461"/>
    <w:rsid w:val="00B34B71"/>
    <w:rsid w:val="00B35E78"/>
    <w:rsid w:val="00B402AA"/>
    <w:rsid w:val="00B40CD6"/>
    <w:rsid w:val="00B4344A"/>
    <w:rsid w:val="00B44422"/>
    <w:rsid w:val="00B46EA0"/>
    <w:rsid w:val="00B51E03"/>
    <w:rsid w:val="00B526B3"/>
    <w:rsid w:val="00B539F3"/>
    <w:rsid w:val="00B65710"/>
    <w:rsid w:val="00B71D15"/>
    <w:rsid w:val="00B71F51"/>
    <w:rsid w:val="00B731D3"/>
    <w:rsid w:val="00B763C3"/>
    <w:rsid w:val="00B839A3"/>
    <w:rsid w:val="00B84183"/>
    <w:rsid w:val="00B853D2"/>
    <w:rsid w:val="00B85D7C"/>
    <w:rsid w:val="00B85E23"/>
    <w:rsid w:val="00B902BD"/>
    <w:rsid w:val="00B9694C"/>
    <w:rsid w:val="00B97846"/>
    <w:rsid w:val="00BA11A7"/>
    <w:rsid w:val="00BA2406"/>
    <w:rsid w:val="00BA24E2"/>
    <w:rsid w:val="00BA43B8"/>
    <w:rsid w:val="00BB5930"/>
    <w:rsid w:val="00BB5A1B"/>
    <w:rsid w:val="00BC1FDD"/>
    <w:rsid w:val="00BC3611"/>
    <w:rsid w:val="00BC580C"/>
    <w:rsid w:val="00BC6A5B"/>
    <w:rsid w:val="00BC77D0"/>
    <w:rsid w:val="00BD2A39"/>
    <w:rsid w:val="00BD2E80"/>
    <w:rsid w:val="00BD7AF3"/>
    <w:rsid w:val="00BE11B8"/>
    <w:rsid w:val="00BE3409"/>
    <w:rsid w:val="00BE3818"/>
    <w:rsid w:val="00BE4A0B"/>
    <w:rsid w:val="00BF03C7"/>
    <w:rsid w:val="00BF06C9"/>
    <w:rsid w:val="00BF07A4"/>
    <w:rsid w:val="00BF08D0"/>
    <w:rsid w:val="00BF5C5A"/>
    <w:rsid w:val="00BF7FF0"/>
    <w:rsid w:val="00C0314B"/>
    <w:rsid w:val="00C070CA"/>
    <w:rsid w:val="00C12502"/>
    <w:rsid w:val="00C1266C"/>
    <w:rsid w:val="00C14FD2"/>
    <w:rsid w:val="00C157A4"/>
    <w:rsid w:val="00C16C46"/>
    <w:rsid w:val="00C2544D"/>
    <w:rsid w:val="00C32996"/>
    <w:rsid w:val="00C36578"/>
    <w:rsid w:val="00C40AA5"/>
    <w:rsid w:val="00C46F70"/>
    <w:rsid w:val="00C476D0"/>
    <w:rsid w:val="00C56F71"/>
    <w:rsid w:val="00C61B5E"/>
    <w:rsid w:val="00C63580"/>
    <w:rsid w:val="00C662CF"/>
    <w:rsid w:val="00C67CAC"/>
    <w:rsid w:val="00C71976"/>
    <w:rsid w:val="00C76847"/>
    <w:rsid w:val="00C801EE"/>
    <w:rsid w:val="00C81DAB"/>
    <w:rsid w:val="00C836E3"/>
    <w:rsid w:val="00C8434C"/>
    <w:rsid w:val="00C86577"/>
    <w:rsid w:val="00C91B05"/>
    <w:rsid w:val="00C92E07"/>
    <w:rsid w:val="00C94942"/>
    <w:rsid w:val="00C94AF3"/>
    <w:rsid w:val="00C95A55"/>
    <w:rsid w:val="00C96868"/>
    <w:rsid w:val="00C968FA"/>
    <w:rsid w:val="00C96A50"/>
    <w:rsid w:val="00C973E5"/>
    <w:rsid w:val="00CA0416"/>
    <w:rsid w:val="00CA3C65"/>
    <w:rsid w:val="00CA4F8D"/>
    <w:rsid w:val="00CA7F35"/>
    <w:rsid w:val="00CB1375"/>
    <w:rsid w:val="00CB25A6"/>
    <w:rsid w:val="00CB7530"/>
    <w:rsid w:val="00CC1235"/>
    <w:rsid w:val="00CC36E7"/>
    <w:rsid w:val="00CC3A23"/>
    <w:rsid w:val="00CC560B"/>
    <w:rsid w:val="00CC75E2"/>
    <w:rsid w:val="00CD03F7"/>
    <w:rsid w:val="00CD06FA"/>
    <w:rsid w:val="00CD25E3"/>
    <w:rsid w:val="00CD46EB"/>
    <w:rsid w:val="00CD4CDB"/>
    <w:rsid w:val="00CD7EBF"/>
    <w:rsid w:val="00CE0AEB"/>
    <w:rsid w:val="00CE25C8"/>
    <w:rsid w:val="00CE7623"/>
    <w:rsid w:val="00CF74BE"/>
    <w:rsid w:val="00D0358B"/>
    <w:rsid w:val="00D04529"/>
    <w:rsid w:val="00D056F1"/>
    <w:rsid w:val="00D062E4"/>
    <w:rsid w:val="00D11171"/>
    <w:rsid w:val="00D14405"/>
    <w:rsid w:val="00D2071E"/>
    <w:rsid w:val="00D209C9"/>
    <w:rsid w:val="00D22F3C"/>
    <w:rsid w:val="00D23DB6"/>
    <w:rsid w:val="00D2546D"/>
    <w:rsid w:val="00D26814"/>
    <w:rsid w:val="00D3171B"/>
    <w:rsid w:val="00D33F56"/>
    <w:rsid w:val="00D34346"/>
    <w:rsid w:val="00D40566"/>
    <w:rsid w:val="00D43FE6"/>
    <w:rsid w:val="00D45977"/>
    <w:rsid w:val="00D477EA"/>
    <w:rsid w:val="00D50080"/>
    <w:rsid w:val="00D51A95"/>
    <w:rsid w:val="00D52F6F"/>
    <w:rsid w:val="00D60568"/>
    <w:rsid w:val="00D625B0"/>
    <w:rsid w:val="00D63E43"/>
    <w:rsid w:val="00D6579B"/>
    <w:rsid w:val="00D676CF"/>
    <w:rsid w:val="00D70C7A"/>
    <w:rsid w:val="00D71B84"/>
    <w:rsid w:val="00D728FF"/>
    <w:rsid w:val="00D73931"/>
    <w:rsid w:val="00D81D38"/>
    <w:rsid w:val="00D8470F"/>
    <w:rsid w:val="00D8471A"/>
    <w:rsid w:val="00D86326"/>
    <w:rsid w:val="00D87AF4"/>
    <w:rsid w:val="00D94698"/>
    <w:rsid w:val="00DA10A8"/>
    <w:rsid w:val="00DA3FF7"/>
    <w:rsid w:val="00DB1B8B"/>
    <w:rsid w:val="00DB1E08"/>
    <w:rsid w:val="00DB2973"/>
    <w:rsid w:val="00DB324A"/>
    <w:rsid w:val="00DB5082"/>
    <w:rsid w:val="00DB7A08"/>
    <w:rsid w:val="00DB7A22"/>
    <w:rsid w:val="00DC1B56"/>
    <w:rsid w:val="00DC2129"/>
    <w:rsid w:val="00DC3C72"/>
    <w:rsid w:val="00DC6570"/>
    <w:rsid w:val="00DD3C5E"/>
    <w:rsid w:val="00DD4F10"/>
    <w:rsid w:val="00DE5398"/>
    <w:rsid w:val="00DE53AE"/>
    <w:rsid w:val="00DE6FFB"/>
    <w:rsid w:val="00DE79D9"/>
    <w:rsid w:val="00DF2362"/>
    <w:rsid w:val="00DF25C3"/>
    <w:rsid w:val="00DF584A"/>
    <w:rsid w:val="00DF58FE"/>
    <w:rsid w:val="00E04062"/>
    <w:rsid w:val="00E043A9"/>
    <w:rsid w:val="00E063C6"/>
    <w:rsid w:val="00E2003B"/>
    <w:rsid w:val="00E203C2"/>
    <w:rsid w:val="00E23CB1"/>
    <w:rsid w:val="00E24DE8"/>
    <w:rsid w:val="00E25820"/>
    <w:rsid w:val="00E279D8"/>
    <w:rsid w:val="00E319B1"/>
    <w:rsid w:val="00E31FBB"/>
    <w:rsid w:val="00E3210D"/>
    <w:rsid w:val="00E340B9"/>
    <w:rsid w:val="00E35C71"/>
    <w:rsid w:val="00E35FAB"/>
    <w:rsid w:val="00E3711D"/>
    <w:rsid w:val="00E40ED4"/>
    <w:rsid w:val="00E41027"/>
    <w:rsid w:val="00E43679"/>
    <w:rsid w:val="00E44E0D"/>
    <w:rsid w:val="00E469AA"/>
    <w:rsid w:val="00E50F85"/>
    <w:rsid w:val="00E520FE"/>
    <w:rsid w:val="00E5492F"/>
    <w:rsid w:val="00E62DEF"/>
    <w:rsid w:val="00E66D0A"/>
    <w:rsid w:val="00E67039"/>
    <w:rsid w:val="00E70A86"/>
    <w:rsid w:val="00E72385"/>
    <w:rsid w:val="00E72650"/>
    <w:rsid w:val="00E741DE"/>
    <w:rsid w:val="00E75054"/>
    <w:rsid w:val="00E751D6"/>
    <w:rsid w:val="00E777EC"/>
    <w:rsid w:val="00E806DF"/>
    <w:rsid w:val="00E808F7"/>
    <w:rsid w:val="00E80FCD"/>
    <w:rsid w:val="00E81F6E"/>
    <w:rsid w:val="00E820C2"/>
    <w:rsid w:val="00E851A4"/>
    <w:rsid w:val="00E926DB"/>
    <w:rsid w:val="00E95E98"/>
    <w:rsid w:val="00E9623E"/>
    <w:rsid w:val="00EA2FB6"/>
    <w:rsid w:val="00EA47AB"/>
    <w:rsid w:val="00EA7F2F"/>
    <w:rsid w:val="00EB2721"/>
    <w:rsid w:val="00EC00DE"/>
    <w:rsid w:val="00EC30E1"/>
    <w:rsid w:val="00EC677F"/>
    <w:rsid w:val="00ED172A"/>
    <w:rsid w:val="00EE0A23"/>
    <w:rsid w:val="00EE40EC"/>
    <w:rsid w:val="00EF615F"/>
    <w:rsid w:val="00EF7E50"/>
    <w:rsid w:val="00F00ED1"/>
    <w:rsid w:val="00F020EB"/>
    <w:rsid w:val="00F05003"/>
    <w:rsid w:val="00F0750B"/>
    <w:rsid w:val="00F10F30"/>
    <w:rsid w:val="00F14BEC"/>
    <w:rsid w:val="00F1547F"/>
    <w:rsid w:val="00F20865"/>
    <w:rsid w:val="00F225C5"/>
    <w:rsid w:val="00F2366A"/>
    <w:rsid w:val="00F237EA"/>
    <w:rsid w:val="00F2587A"/>
    <w:rsid w:val="00F33BB8"/>
    <w:rsid w:val="00F367E7"/>
    <w:rsid w:val="00F3715D"/>
    <w:rsid w:val="00F420C8"/>
    <w:rsid w:val="00F42937"/>
    <w:rsid w:val="00F42A4C"/>
    <w:rsid w:val="00F42BB9"/>
    <w:rsid w:val="00F520F2"/>
    <w:rsid w:val="00F53B04"/>
    <w:rsid w:val="00F604DE"/>
    <w:rsid w:val="00F625E1"/>
    <w:rsid w:val="00F64653"/>
    <w:rsid w:val="00F6581B"/>
    <w:rsid w:val="00F74550"/>
    <w:rsid w:val="00F75E9E"/>
    <w:rsid w:val="00F76891"/>
    <w:rsid w:val="00F839AE"/>
    <w:rsid w:val="00F901FD"/>
    <w:rsid w:val="00F93D52"/>
    <w:rsid w:val="00F95C29"/>
    <w:rsid w:val="00FA38A3"/>
    <w:rsid w:val="00FA7113"/>
    <w:rsid w:val="00FA76DE"/>
    <w:rsid w:val="00FB1533"/>
    <w:rsid w:val="00FB23B5"/>
    <w:rsid w:val="00FB2479"/>
    <w:rsid w:val="00FB635A"/>
    <w:rsid w:val="00FB67A3"/>
    <w:rsid w:val="00FB7512"/>
    <w:rsid w:val="00FC5427"/>
    <w:rsid w:val="00FC6787"/>
    <w:rsid w:val="00FC72DB"/>
    <w:rsid w:val="00FD1BBC"/>
    <w:rsid w:val="00FD242D"/>
    <w:rsid w:val="00FD2FBE"/>
    <w:rsid w:val="00FD629B"/>
    <w:rsid w:val="00FD7547"/>
    <w:rsid w:val="00FE43C4"/>
    <w:rsid w:val="00FE6B7F"/>
    <w:rsid w:val="00FF48A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9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page number" w:locked="1"/>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qFormat/>
    <w:rsid w:val="00750DEC"/>
    <w:pPr>
      <w:ind w:left="720"/>
      <w:contextualSpacing/>
    </w:pPr>
  </w:style>
  <w:style w:type="paragraph" w:customStyle="1" w:styleId="FSHeading">
    <w:name w:val="FS Heading"/>
    <w:basedOn w:val="Normal"/>
    <w:link w:val="FSHeadingChar"/>
    <w:qFormat/>
    <w:rsid w:val="007B144E"/>
    <w:pPr>
      <w:ind w:left="851" w:hanging="851"/>
    </w:pPr>
    <w:rPr>
      <w:rFonts w:eastAsia="Calibri"/>
      <w:b/>
      <w:szCs w:val="22"/>
      <w:lang w:bidi="ar-SA"/>
    </w:rPr>
  </w:style>
  <w:style w:type="character" w:customStyle="1" w:styleId="FSHeadingChar">
    <w:name w:val="FS Heading Char"/>
    <w:link w:val="FSHeading"/>
    <w:rsid w:val="007B144E"/>
    <w:rPr>
      <w:rFonts w:ascii="Arial" w:eastAsia="Calibri" w:hAnsi="Arial"/>
      <w:b/>
      <w:sz w:val="22"/>
      <w:szCs w:val="22"/>
      <w:lang w:eastAsia="en-US"/>
    </w:rPr>
  </w:style>
  <w:style w:type="paragraph" w:styleId="PlainText">
    <w:name w:val="Plain Text"/>
    <w:basedOn w:val="Normal"/>
    <w:link w:val="PlainTextChar"/>
    <w:uiPriority w:val="99"/>
    <w:unhideWhenUsed/>
    <w:rsid w:val="00B24E22"/>
    <w:pPr>
      <w:widowControl/>
    </w:pPr>
    <w:rPr>
      <w:rFonts w:eastAsiaTheme="minorHAnsi" w:cs="Arial"/>
      <w:szCs w:val="22"/>
      <w:lang w:val="en-NZ" w:bidi="ar-SA"/>
    </w:rPr>
  </w:style>
  <w:style w:type="character" w:customStyle="1" w:styleId="PlainTextChar">
    <w:name w:val="Plain Text Char"/>
    <w:basedOn w:val="DefaultParagraphFont"/>
    <w:link w:val="PlainText"/>
    <w:uiPriority w:val="99"/>
    <w:rsid w:val="00B24E22"/>
    <w:rPr>
      <w:rFonts w:ascii="Arial" w:eastAsiaTheme="minorHAnsi" w:hAnsi="Arial" w:cs="Arial"/>
      <w:sz w:val="22"/>
      <w:szCs w:val="22"/>
      <w:lang w:val="en-NZ" w:eastAsia="en-US"/>
    </w:rPr>
  </w:style>
  <w:style w:type="paragraph" w:customStyle="1" w:styleId="Default">
    <w:name w:val="Default"/>
    <w:rsid w:val="00647936"/>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page number" w:locked="1"/>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qFormat/>
    <w:rsid w:val="00750DEC"/>
    <w:pPr>
      <w:ind w:left="720"/>
      <w:contextualSpacing/>
    </w:pPr>
  </w:style>
  <w:style w:type="paragraph" w:customStyle="1" w:styleId="FSHeading">
    <w:name w:val="FS Heading"/>
    <w:basedOn w:val="Normal"/>
    <w:link w:val="FSHeadingChar"/>
    <w:qFormat/>
    <w:rsid w:val="007B144E"/>
    <w:pPr>
      <w:ind w:left="851" w:hanging="851"/>
    </w:pPr>
    <w:rPr>
      <w:rFonts w:eastAsia="Calibri"/>
      <w:b/>
      <w:szCs w:val="22"/>
      <w:lang w:bidi="ar-SA"/>
    </w:rPr>
  </w:style>
  <w:style w:type="character" w:customStyle="1" w:styleId="FSHeadingChar">
    <w:name w:val="FS Heading Char"/>
    <w:link w:val="FSHeading"/>
    <w:rsid w:val="007B144E"/>
    <w:rPr>
      <w:rFonts w:ascii="Arial" w:eastAsia="Calibri" w:hAnsi="Arial"/>
      <w:b/>
      <w:sz w:val="22"/>
      <w:szCs w:val="22"/>
      <w:lang w:eastAsia="en-US"/>
    </w:rPr>
  </w:style>
  <w:style w:type="paragraph" w:styleId="PlainText">
    <w:name w:val="Plain Text"/>
    <w:basedOn w:val="Normal"/>
    <w:link w:val="PlainTextChar"/>
    <w:uiPriority w:val="99"/>
    <w:unhideWhenUsed/>
    <w:rsid w:val="00B24E22"/>
    <w:pPr>
      <w:widowControl/>
    </w:pPr>
    <w:rPr>
      <w:rFonts w:eastAsiaTheme="minorHAnsi" w:cs="Arial"/>
      <w:szCs w:val="22"/>
      <w:lang w:val="en-NZ" w:bidi="ar-SA"/>
    </w:rPr>
  </w:style>
  <w:style w:type="character" w:customStyle="1" w:styleId="PlainTextChar">
    <w:name w:val="Plain Text Char"/>
    <w:basedOn w:val="DefaultParagraphFont"/>
    <w:link w:val="PlainText"/>
    <w:uiPriority w:val="99"/>
    <w:rsid w:val="00B24E22"/>
    <w:rPr>
      <w:rFonts w:ascii="Arial" w:eastAsiaTheme="minorHAnsi" w:hAnsi="Arial" w:cs="Arial"/>
      <w:sz w:val="22"/>
      <w:szCs w:val="22"/>
      <w:lang w:val="en-NZ" w:eastAsia="en-US"/>
    </w:rPr>
  </w:style>
  <w:style w:type="paragraph" w:customStyle="1" w:styleId="Default">
    <w:name w:val="Default"/>
    <w:rsid w:val="0064793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12553254">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yperlink" Target="https://www.legislation.gov.au/Series/F2015L00409"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yperlink" Target="http://www.foodstandards.gov.au/code/applications/Pages/A1143-DHA-Canola-Line-NS&#8211;B500274.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fao-who-codexalimentarius/standards/list-of-standards/en/" TargetMode="External"/><Relationship Id="rId32" Type="http://schemas.openxmlformats.org/officeDocument/2006/relationships/fontTable" Target="fontTable.xml"/><Relationship Id="rId28" Type="http://schemas.openxmlformats.org/officeDocument/2006/relationships/footer" Target="footer1.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www.foodstandards.gov.au/code/changes/pages/applicationshandbook.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footer" Target="footer3.xml"/><Relationship Id="rId30" Type="http://schemas.openxmlformats.org/officeDocument/2006/relationships/header" Target="header3.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foodstandards.gov.au/code/fofr/fofrpolicy/pages/default.aspx"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fofr/fofrpolicy/pages/default.aspx" TargetMode="External"/><Relationship Id="rId2" Type="http://schemas.openxmlformats.org/officeDocument/2006/relationships/hyperlink" Target="https://www.legislation.gov.au/Series/F2015L00409" TargetMode="External"/><Relationship Id="rId1" Type="http://schemas.openxmlformats.org/officeDocument/2006/relationships/hyperlink" Target="http://www.foodstandards.gov.au/code/applications/Pages/A1143-DHA-Canola-Line-NS&#8211;B500274.aspx" TargetMode="External"/><Relationship Id="rId4" Type="http://schemas.openxmlformats.org/officeDocument/2006/relationships/hyperlink" Target="http://www.foodstandards.gov.au/code/changes/pages/applicationshandboo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Evaluation</TermName>
          <TermId>43bd8487-b9f6-4055-946c-a118d364275d</TermId>
        </TermInfo>
      </Terms>
    </bd06d2da0152468b9236b575a71e0e7c>
    <_dlc_DocId xmlns="ff5de93e-c5e8-4efc-a1bd-21450292fcfe">X3VAMR3A5FUY-552-6415</_dlc_DocId>
    <_dlc_DocIdUrl xmlns="ff5de93e-c5e8-4efc-a1bd-21450292fcfe">
      <Url>http://teams/Sections/RAP/_layouts/15/DocIdRedir.aspx?ID=X3VAMR3A5FUY-552-6415</Url>
      <Description>X3VAMR3A5FUY-552-6415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F24EC-1AA4-4106-ACFA-A308E135518D}"/>
</file>

<file path=customXml/itemProps2.xml><?xml version="1.0" encoding="utf-8"?>
<ds:datastoreItem xmlns:ds="http://schemas.openxmlformats.org/officeDocument/2006/customXml" ds:itemID="{79DAC927-CAA7-425A-B163-6ED9FD4F78AF}"/>
</file>

<file path=customXml/itemProps3.xml><?xml version="1.0" encoding="utf-8"?>
<ds:datastoreItem xmlns:ds="http://schemas.openxmlformats.org/officeDocument/2006/customXml" ds:itemID="{2CB03CB9-AF12-45B1-9067-0A777F474EFD}"/>
</file>

<file path=customXml/itemProps4.xml><?xml version="1.0" encoding="utf-8"?>
<ds:datastoreItem xmlns:ds="http://schemas.openxmlformats.org/officeDocument/2006/customXml" ds:itemID="{F74F24EC-1AA4-4106-ACFA-A308E135518D}">
  <ds:schemaRefs>
    <ds:schemaRef ds:uri="ec50576e-4a27-4780-a1e1-e59563bc70b8"/>
    <ds:schemaRef ds:uri="http://schemas.microsoft.com/office/infopath/2007/PartnerControls"/>
    <ds:schemaRef ds:uri="http://purl.org/dc/terms/"/>
    <ds:schemaRef ds:uri="http://purl.org/dc/dcmitype/"/>
    <ds:schemaRef ds:uri="http://purl.org/dc/elements/1.1/"/>
    <ds:schemaRef ds:uri="ff5de93e-c5e8-4efc-a1bd-21450292fcf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79DAC927-CAA7-425A-B163-6ED9FD4F78AF}">
  <ds:schemaRefs>
    <ds:schemaRef ds:uri="http://schemas.microsoft.com/sharepoint/v3/contenttype/forms"/>
  </ds:schemaRefs>
</ds:datastoreItem>
</file>

<file path=customXml/itemProps6.xml><?xml version="1.0" encoding="utf-8"?>
<ds:datastoreItem xmlns:ds="http://schemas.openxmlformats.org/officeDocument/2006/customXml" ds:itemID="{17AE2119-D011-4FEA-877D-7A15A0BD475B}"/>
</file>

<file path=docProps/app.xml><?xml version="1.0" encoding="utf-8"?>
<Properties xmlns="http://schemas.openxmlformats.org/officeDocument/2006/extended-properties" xmlns:vt="http://schemas.openxmlformats.org/officeDocument/2006/docPropsVTypes">
  <Template>Normal.dotm</Template>
  <TotalTime>43</TotalTime>
  <Pages>19</Pages>
  <Words>6841</Words>
  <Characters>40436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47183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gorstj</dc:creator>
  <cp:lastModifiedBy>rissas</cp:lastModifiedBy>
  <cp:revision>12</cp:revision>
  <cp:lastPrinted>2017-09-12T02:08:00Z</cp:lastPrinted>
  <dcterms:created xsi:type="dcterms:W3CDTF">2017-08-28T01:34:00Z</dcterms:created>
  <dcterms:modified xsi:type="dcterms:W3CDTF">2017-09-12T02:08:00Z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cfb723ee-bc7a-448d-a53b-2a27736e77b1</vt:lpwstr>
  </property>
  <property fmtid="{D5CDD505-2E9C-101B-9397-08002B2CF9AE}" pid="6" name="TitusGUID">
    <vt:lpwstr>e550c236-6320-46ab-8a45-473df515daa4</vt:lpwstr>
  </property>
</Properties>
</file>